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DEAA5">
      <w:pPr>
        <w:bidi w:val="0"/>
        <w:rPr>
          <w:rFonts w:hint="eastAsia"/>
        </w:rPr>
      </w:pPr>
      <w:bookmarkStart w:id="0" w:name="_top"/>
      <w:bookmarkEnd w:id="0"/>
    </w:p>
    <w:p w14:paraId="3E212439">
      <w:pPr>
        <w:bidi w:val="0"/>
        <w:rPr>
          <w:rFonts w:hint="eastAsia"/>
        </w:rPr>
      </w:pPr>
    </w:p>
    <w:p w14:paraId="2284D1A6">
      <w:pPr>
        <w:spacing w:line="312" w:lineRule="auto"/>
        <w:ind w:left="0" w:leftChars="0" w:firstLine="0" w:firstLineChars="0"/>
        <w:jc w:val="center"/>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rPr>
        <w:t>河南省人民医院</w:t>
      </w:r>
      <w:r>
        <w:rPr>
          <w:rFonts w:hint="eastAsia" w:ascii="宋体" w:hAnsi="宋体" w:eastAsia="宋体" w:cs="宋体"/>
          <w:b/>
          <w:bCs/>
          <w:color w:val="000000"/>
          <w:sz w:val="36"/>
          <w:szCs w:val="36"/>
          <w:lang w:val="en-US" w:eastAsia="zh-CN"/>
        </w:rPr>
        <w:t>豫东北医院</w:t>
      </w:r>
      <w:r>
        <w:rPr>
          <w:rFonts w:hint="eastAsia" w:cs="宋体"/>
          <w:b/>
          <w:bCs/>
          <w:color w:val="000000"/>
          <w:sz w:val="36"/>
          <w:szCs w:val="36"/>
          <w:lang w:val="en-US" w:eastAsia="zh-CN"/>
        </w:rPr>
        <w:t>（台前县新区人民医院）</w:t>
      </w:r>
    </w:p>
    <w:p w14:paraId="15CD10C3">
      <w:pPr>
        <w:spacing w:line="312" w:lineRule="auto"/>
        <w:ind w:left="0" w:leftChars="0" w:firstLine="0" w:firstLineChars="0"/>
        <w:jc w:val="center"/>
        <w:rPr>
          <w:rFonts w:hint="eastAsia" w:ascii="宋体" w:hAnsi="宋体" w:eastAsia="宋体" w:cs="宋体"/>
          <w:b/>
          <w:bCs/>
          <w:color w:val="000000"/>
          <w:sz w:val="36"/>
          <w:szCs w:val="36"/>
        </w:rPr>
      </w:pPr>
      <w:r>
        <w:rPr>
          <w:rFonts w:hint="eastAsia" w:cs="宋体"/>
          <w:b/>
          <w:bCs/>
          <w:color w:val="000000"/>
          <w:sz w:val="36"/>
          <w:szCs w:val="36"/>
          <w:lang w:val="en-US" w:eastAsia="zh-CN"/>
        </w:rPr>
        <w:t>消毒供应追溯系统配套硬件采购</w:t>
      </w:r>
      <w:r>
        <w:rPr>
          <w:rFonts w:hint="eastAsia" w:ascii="宋体" w:hAnsi="宋体" w:eastAsia="宋体" w:cs="宋体"/>
          <w:b/>
          <w:bCs/>
          <w:color w:val="000000"/>
          <w:sz w:val="36"/>
          <w:szCs w:val="36"/>
        </w:rPr>
        <w:t>项目</w:t>
      </w:r>
    </w:p>
    <w:p w14:paraId="7A41F360">
      <w:pPr>
        <w:bidi w:val="0"/>
        <w:rPr>
          <w:rFonts w:hint="eastAsia"/>
        </w:rPr>
      </w:pPr>
    </w:p>
    <w:p w14:paraId="60AFA8F2">
      <w:pPr>
        <w:bidi w:val="0"/>
        <w:rPr>
          <w:rFonts w:hint="eastAsia"/>
        </w:rPr>
      </w:pPr>
    </w:p>
    <w:p w14:paraId="564E313D">
      <w:pPr>
        <w:bidi w:val="0"/>
        <w:rPr>
          <w:rFonts w:hint="eastAsia"/>
        </w:rPr>
      </w:pPr>
    </w:p>
    <w:p w14:paraId="2F77A904">
      <w:pPr>
        <w:spacing w:line="312" w:lineRule="auto"/>
        <w:ind w:left="0" w:leftChars="0" w:firstLine="0" w:firstLineChars="0"/>
        <w:jc w:val="center"/>
        <w:rPr>
          <w:rFonts w:hint="eastAsia" w:ascii="宋体" w:hAnsi="宋体" w:eastAsia="宋体" w:cs="宋体"/>
          <w:b/>
          <w:bCs/>
          <w:sz w:val="72"/>
          <w:szCs w:val="72"/>
        </w:rPr>
      </w:pPr>
      <w:r>
        <w:rPr>
          <w:rFonts w:hint="eastAsia" w:ascii="宋体" w:hAnsi="宋体" w:eastAsia="宋体" w:cs="宋体"/>
          <w:b/>
          <w:bCs/>
          <w:sz w:val="72"/>
          <w:szCs w:val="72"/>
        </w:rPr>
        <w:t>竞争性磋商文件</w:t>
      </w:r>
    </w:p>
    <w:p w14:paraId="47D429DA">
      <w:pPr>
        <w:bidi w:val="0"/>
        <w:rPr>
          <w:rFonts w:hint="eastAsia"/>
        </w:rPr>
      </w:pPr>
    </w:p>
    <w:p w14:paraId="7FD5BA7C">
      <w:pPr>
        <w:bidi w:val="0"/>
        <w:rPr>
          <w:rFonts w:hint="eastAsia"/>
        </w:rPr>
      </w:pPr>
    </w:p>
    <w:p w14:paraId="0E55B193">
      <w:pPr>
        <w:bidi w:val="0"/>
        <w:rPr>
          <w:rFonts w:hint="eastAsia"/>
        </w:rPr>
      </w:pPr>
    </w:p>
    <w:p w14:paraId="795C1DBB">
      <w:pPr>
        <w:bidi w:val="0"/>
        <w:rPr>
          <w:rFonts w:hint="eastAsia"/>
        </w:rPr>
      </w:pPr>
    </w:p>
    <w:p w14:paraId="1D72A8E0">
      <w:pPr>
        <w:bidi w:val="0"/>
        <w:rPr>
          <w:rFonts w:hint="eastAsia"/>
        </w:rPr>
      </w:pPr>
    </w:p>
    <w:p w14:paraId="01C72906">
      <w:pPr>
        <w:bidi w:val="0"/>
        <w:rPr>
          <w:rFonts w:hint="eastAsia"/>
        </w:rPr>
      </w:pPr>
    </w:p>
    <w:p w14:paraId="7CE0B788">
      <w:pPr>
        <w:bidi w:val="0"/>
        <w:rPr>
          <w:rFonts w:hint="eastAsia"/>
        </w:rPr>
      </w:pPr>
    </w:p>
    <w:p w14:paraId="3031E857">
      <w:pPr>
        <w:bidi w:val="0"/>
        <w:rPr>
          <w:rFonts w:hint="eastAsia"/>
        </w:rPr>
      </w:pPr>
    </w:p>
    <w:p w14:paraId="234EFD1E">
      <w:pPr>
        <w:bidi w:val="0"/>
        <w:rPr>
          <w:rFonts w:hint="eastAsia"/>
        </w:rPr>
      </w:pPr>
    </w:p>
    <w:p w14:paraId="1D80BED3">
      <w:pPr>
        <w:keepNext w:val="0"/>
        <w:keepLines w:val="0"/>
        <w:pageBreakBefore w:val="0"/>
        <w:widowControl w:val="0"/>
        <w:kinsoku/>
        <w:wordWrap/>
        <w:overflowPunct/>
        <w:topLinePunct w:val="0"/>
        <w:autoSpaceDE/>
        <w:autoSpaceDN/>
        <w:bidi w:val="0"/>
        <w:adjustRightInd/>
        <w:snapToGrid/>
        <w:spacing w:line="360" w:lineRule="auto"/>
        <w:ind w:firstLine="1285" w:firstLineChars="4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项目编号：</w:t>
      </w:r>
      <w:r>
        <w:rPr>
          <w:rFonts w:hint="eastAsia" w:cs="宋体"/>
          <w:b/>
          <w:bCs/>
          <w:color w:val="000000" w:themeColor="text1"/>
          <w:sz w:val="32"/>
          <w:szCs w:val="32"/>
          <w:lang w:val="en-US" w:eastAsia="zh-CN"/>
          <w14:textFill>
            <w14:solidFill>
              <w14:schemeClr w14:val="tx1"/>
            </w14:solidFill>
          </w14:textFill>
        </w:rPr>
        <w:t>YDBZBCG-20250009</w:t>
      </w:r>
    </w:p>
    <w:p w14:paraId="2F5DC5B9">
      <w:pPr>
        <w:keepNext w:val="0"/>
        <w:keepLines w:val="0"/>
        <w:pageBreakBefore w:val="0"/>
        <w:widowControl w:val="0"/>
        <w:kinsoku/>
        <w:wordWrap/>
        <w:overflowPunct/>
        <w:topLinePunct w:val="0"/>
        <w:autoSpaceDE/>
        <w:autoSpaceDN/>
        <w:bidi w:val="0"/>
        <w:adjustRightInd/>
        <w:snapToGrid/>
        <w:spacing w:line="360" w:lineRule="auto"/>
        <w:ind w:firstLine="1285" w:firstLineChars="400"/>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采购人：</w:t>
      </w:r>
      <w:r>
        <w:rPr>
          <w:rFonts w:hint="eastAsia" w:ascii="宋体" w:hAnsi="宋体" w:eastAsia="宋体" w:cs="宋体"/>
          <w:b/>
          <w:bCs/>
          <w:color w:val="000000" w:themeColor="text1"/>
          <w:sz w:val="30"/>
          <w:szCs w:val="30"/>
          <w14:textFill>
            <w14:solidFill>
              <w14:schemeClr w14:val="tx1"/>
            </w14:solidFill>
          </w14:textFill>
        </w:rPr>
        <w:t>河南省人民医院</w:t>
      </w:r>
      <w:r>
        <w:rPr>
          <w:rFonts w:hint="eastAsia" w:ascii="宋体" w:hAnsi="宋体" w:eastAsia="宋体" w:cs="宋体"/>
          <w:b/>
          <w:bCs/>
          <w:color w:val="000000" w:themeColor="text1"/>
          <w:sz w:val="30"/>
          <w:szCs w:val="30"/>
          <w:lang w:val="en-US" w:eastAsia="zh-CN"/>
          <w14:textFill>
            <w14:solidFill>
              <w14:schemeClr w14:val="tx1"/>
            </w14:solidFill>
          </w14:textFill>
        </w:rPr>
        <w:t>豫东北医院</w:t>
      </w:r>
      <w:r>
        <w:rPr>
          <w:rFonts w:hint="eastAsia" w:cs="宋体"/>
          <w:b/>
          <w:bCs/>
          <w:color w:val="000000" w:themeColor="text1"/>
          <w:sz w:val="30"/>
          <w:szCs w:val="30"/>
          <w:lang w:val="en-US" w:eastAsia="zh-CN"/>
          <w14:textFill>
            <w14:solidFill>
              <w14:schemeClr w14:val="tx1"/>
            </w14:solidFill>
          </w14:textFill>
        </w:rPr>
        <w:t>（台前县新区人民医院）</w:t>
      </w:r>
    </w:p>
    <w:p w14:paraId="09604BE1">
      <w:pPr>
        <w:keepNext w:val="0"/>
        <w:keepLines w:val="0"/>
        <w:pageBreakBefore w:val="0"/>
        <w:widowControl w:val="0"/>
        <w:kinsoku/>
        <w:wordWrap/>
        <w:overflowPunct/>
        <w:topLinePunct w:val="0"/>
        <w:autoSpaceDE/>
        <w:autoSpaceDN/>
        <w:bidi w:val="0"/>
        <w:adjustRightInd/>
        <w:snapToGrid/>
        <w:spacing w:line="360" w:lineRule="auto"/>
        <w:ind w:firstLine="1285" w:firstLineChars="400"/>
        <w:textAlignment w:val="auto"/>
        <w:rPr>
          <w:rFonts w:hint="eastAsia" w:ascii="宋体" w:hAnsi="宋体" w:eastAsia="宋体" w:cs="宋体"/>
          <w:b/>
          <w:bCs/>
          <w:color w:val="000000" w:themeColor="text1"/>
          <w:sz w:val="28"/>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日期：二〇二</w:t>
      </w:r>
      <w:r>
        <w:rPr>
          <w:rFonts w:hint="eastAsia" w:cs="宋体"/>
          <w:b/>
          <w:bCs/>
          <w:color w:val="000000" w:themeColor="text1"/>
          <w:sz w:val="32"/>
          <w:szCs w:val="32"/>
          <w:lang w:val="en-US" w:eastAsia="zh-CN"/>
          <w14:textFill>
            <w14:solidFill>
              <w14:schemeClr w14:val="tx1"/>
            </w14:solidFill>
          </w14:textFill>
        </w:rPr>
        <w:t>五</w:t>
      </w:r>
      <w:r>
        <w:rPr>
          <w:rFonts w:hint="eastAsia" w:ascii="宋体" w:hAnsi="宋体" w:eastAsia="宋体" w:cs="宋体"/>
          <w:b/>
          <w:bCs/>
          <w:color w:val="000000" w:themeColor="text1"/>
          <w:sz w:val="32"/>
          <w:szCs w:val="32"/>
          <w14:textFill>
            <w14:solidFill>
              <w14:schemeClr w14:val="tx1"/>
            </w14:solidFill>
          </w14:textFill>
        </w:rPr>
        <w:t>年</w:t>
      </w:r>
      <w:r>
        <w:rPr>
          <w:rFonts w:hint="eastAsia" w:cs="宋体"/>
          <w:b/>
          <w:bCs/>
          <w:color w:val="000000" w:themeColor="text1"/>
          <w:sz w:val="32"/>
          <w:szCs w:val="32"/>
          <w:lang w:val="en-US" w:eastAsia="zh-CN"/>
          <w14:textFill>
            <w14:solidFill>
              <w14:schemeClr w14:val="tx1"/>
            </w14:solidFill>
          </w14:textFill>
        </w:rPr>
        <w:t>四</w:t>
      </w:r>
      <w:r>
        <w:rPr>
          <w:rFonts w:hint="eastAsia" w:ascii="宋体" w:hAnsi="宋体" w:eastAsia="宋体" w:cs="宋体"/>
          <w:b/>
          <w:bCs/>
          <w:color w:val="000000" w:themeColor="text1"/>
          <w:sz w:val="32"/>
          <w:szCs w:val="32"/>
          <w14:textFill>
            <w14:solidFill>
              <w14:schemeClr w14:val="tx1"/>
            </w14:solidFill>
          </w14:textFill>
        </w:rPr>
        <w:t>月</w:t>
      </w:r>
    </w:p>
    <w:p w14:paraId="2E2CDA18">
      <w:pPr>
        <w:bidi w:val="0"/>
      </w:pPr>
      <w:r>
        <w:br w:type="page"/>
      </w:r>
    </w:p>
    <w:p w14:paraId="2D071EB0">
      <w:pPr>
        <w:spacing w:line="312" w:lineRule="auto"/>
        <w:jc w:val="center"/>
        <w:rPr>
          <w:rFonts w:hint="eastAsia" w:ascii="宋体" w:hAnsi="宋体" w:eastAsia="宋体" w:cs="宋体"/>
        </w:rPr>
      </w:pPr>
      <w:r>
        <w:rPr>
          <w:rFonts w:hint="eastAsia" w:ascii="宋体" w:hAnsi="宋体" w:eastAsia="宋体" w:cs="宋体"/>
          <w:sz w:val="28"/>
          <w:szCs w:val="28"/>
          <w:lang w:val="zh-CN"/>
        </w:rPr>
        <w:t>目  录</w:t>
      </w:r>
    </w:p>
    <w:p w14:paraId="3F9CC5D4">
      <w:pPr>
        <w:pStyle w:val="15"/>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_Toc24294 </w:instrText>
      </w:r>
      <w:r>
        <w:rPr>
          <w:rFonts w:hint="eastAsia" w:ascii="宋体" w:hAnsi="宋体" w:eastAsia="宋体" w:cs="宋体"/>
        </w:rPr>
        <w:fldChar w:fldCharType="separate"/>
      </w:r>
      <w:r>
        <w:rPr>
          <w:rFonts w:hint="eastAsia"/>
        </w:rPr>
        <w:t>第一章 竞争性磋商公告</w:t>
      </w:r>
      <w:r>
        <w:tab/>
      </w:r>
      <w:r>
        <w:fldChar w:fldCharType="begin"/>
      </w:r>
      <w:r>
        <w:instrText xml:space="preserve"> PAGEREF _Toc24294 \h </w:instrText>
      </w:r>
      <w:r>
        <w:fldChar w:fldCharType="separate"/>
      </w:r>
      <w:r>
        <w:t>1</w:t>
      </w:r>
      <w:r>
        <w:fldChar w:fldCharType="end"/>
      </w:r>
      <w:r>
        <w:rPr>
          <w:rFonts w:hint="eastAsia" w:ascii="宋体" w:hAnsi="宋体" w:eastAsia="宋体" w:cs="宋体"/>
        </w:rPr>
        <w:fldChar w:fldCharType="end"/>
      </w:r>
    </w:p>
    <w:p w14:paraId="33E42E7A">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_Toc2773 </w:instrText>
      </w:r>
      <w:r>
        <w:rPr>
          <w:rFonts w:hint="eastAsia" w:ascii="宋体" w:hAnsi="宋体" w:eastAsia="宋体" w:cs="宋体"/>
        </w:rPr>
        <w:fldChar w:fldCharType="separate"/>
      </w:r>
      <w:r>
        <w:rPr>
          <w:rFonts w:hint="eastAsia"/>
        </w:rPr>
        <w:t>1. 磋商条件</w:t>
      </w:r>
      <w:r>
        <w:tab/>
      </w:r>
      <w:r>
        <w:fldChar w:fldCharType="begin"/>
      </w:r>
      <w:r>
        <w:instrText xml:space="preserve"> PAGEREF _Toc2773 \h </w:instrText>
      </w:r>
      <w:r>
        <w:fldChar w:fldCharType="separate"/>
      </w:r>
      <w:r>
        <w:t>1</w:t>
      </w:r>
      <w:r>
        <w:fldChar w:fldCharType="end"/>
      </w:r>
      <w:r>
        <w:rPr>
          <w:rFonts w:hint="eastAsia" w:ascii="宋体" w:hAnsi="宋体" w:eastAsia="宋体" w:cs="宋体"/>
        </w:rPr>
        <w:fldChar w:fldCharType="end"/>
      </w:r>
    </w:p>
    <w:p w14:paraId="3BAE7532">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_Toc30178 </w:instrText>
      </w:r>
      <w:r>
        <w:rPr>
          <w:rFonts w:hint="eastAsia" w:ascii="宋体" w:hAnsi="宋体" w:eastAsia="宋体" w:cs="宋体"/>
        </w:rPr>
        <w:fldChar w:fldCharType="separate"/>
      </w:r>
      <w:r>
        <w:rPr>
          <w:rFonts w:hint="eastAsia" w:ascii="宋体" w:hAnsi="宋体" w:eastAsia="宋体" w:cs="宋体"/>
        </w:rPr>
        <w:t>2. 项目概况</w:t>
      </w:r>
      <w:r>
        <w:tab/>
      </w:r>
      <w:r>
        <w:fldChar w:fldCharType="begin"/>
      </w:r>
      <w:r>
        <w:instrText xml:space="preserve"> PAGEREF _Toc30178 \h </w:instrText>
      </w:r>
      <w:r>
        <w:fldChar w:fldCharType="separate"/>
      </w:r>
      <w:r>
        <w:t>1</w:t>
      </w:r>
      <w:r>
        <w:fldChar w:fldCharType="end"/>
      </w:r>
      <w:r>
        <w:rPr>
          <w:rFonts w:hint="eastAsia" w:ascii="宋体" w:hAnsi="宋体" w:eastAsia="宋体" w:cs="宋体"/>
        </w:rPr>
        <w:fldChar w:fldCharType="end"/>
      </w:r>
    </w:p>
    <w:p w14:paraId="4CDC9532">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_Toc23197 </w:instrText>
      </w:r>
      <w:r>
        <w:rPr>
          <w:rFonts w:hint="eastAsia" w:ascii="宋体" w:hAnsi="宋体" w:eastAsia="宋体" w:cs="宋体"/>
        </w:rPr>
        <w:fldChar w:fldCharType="separate"/>
      </w:r>
      <w:r>
        <w:rPr>
          <w:rFonts w:hint="eastAsia"/>
        </w:rPr>
        <w:t>3. 响应人资格要求</w:t>
      </w:r>
      <w:r>
        <w:tab/>
      </w:r>
      <w:r>
        <w:fldChar w:fldCharType="begin"/>
      </w:r>
      <w:r>
        <w:instrText xml:space="preserve"> PAGEREF _Toc23197 \h </w:instrText>
      </w:r>
      <w:r>
        <w:fldChar w:fldCharType="separate"/>
      </w:r>
      <w:r>
        <w:t>1</w:t>
      </w:r>
      <w:r>
        <w:fldChar w:fldCharType="end"/>
      </w:r>
      <w:r>
        <w:rPr>
          <w:rFonts w:hint="eastAsia" w:ascii="宋体" w:hAnsi="宋体" w:eastAsia="宋体" w:cs="宋体"/>
        </w:rPr>
        <w:fldChar w:fldCharType="end"/>
      </w:r>
    </w:p>
    <w:p w14:paraId="2C9A683E">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_Toc9078 </w:instrText>
      </w:r>
      <w:r>
        <w:rPr>
          <w:rFonts w:hint="eastAsia" w:ascii="宋体" w:hAnsi="宋体" w:eastAsia="宋体" w:cs="宋体"/>
        </w:rPr>
        <w:fldChar w:fldCharType="separate"/>
      </w:r>
      <w:r>
        <w:rPr>
          <w:rFonts w:hint="eastAsia"/>
        </w:rPr>
        <w:t>4、报名资料提交及竞争性磋商文件获取</w:t>
      </w:r>
      <w:r>
        <w:tab/>
      </w:r>
      <w:r>
        <w:fldChar w:fldCharType="begin"/>
      </w:r>
      <w:r>
        <w:instrText xml:space="preserve"> PAGEREF _Toc9078 \h </w:instrText>
      </w:r>
      <w:r>
        <w:fldChar w:fldCharType="separate"/>
      </w:r>
      <w:r>
        <w:t>2</w:t>
      </w:r>
      <w:r>
        <w:fldChar w:fldCharType="end"/>
      </w:r>
      <w:r>
        <w:rPr>
          <w:rFonts w:hint="eastAsia" w:ascii="宋体" w:hAnsi="宋体" w:eastAsia="宋体" w:cs="宋体"/>
        </w:rPr>
        <w:fldChar w:fldCharType="end"/>
      </w:r>
    </w:p>
    <w:p w14:paraId="2E70241B">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_Toc27071 </w:instrText>
      </w:r>
      <w:r>
        <w:rPr>
          <w:rFonts w:hint="eastAsia" w:ascii="宋体" w:hAnsi="宋体" w:eastAsia="宋体" w:cs="宋体"/>
        </w:rPr>
        <w:fldChar w:fldCharType="separate"/>
      </w:r>
      <w:r>
        <w:rPr>
          <w:rFonts w:hint="eastAsia"/>
        </w:rPr>
        <w:t>5.发布公告的媒介</w:t>
      </w:r>
      <w:r>
        <w:tab/>
      </w:r>
      <w:r>
        <w:fldChar w:fldCharType="begin"/>
      </w:r>
      <w:r>
        <w:instrText xml:space="preserve"> PAGEREF _Toc27071 \h </w:instrText>
      </w:r>
      <w:r>
        <w:fldChar w:fldCharType="separate"/>
      </w:r>
      <w:r>
        <w:t>3</w:t>
      </w:r>
      <w:r>
        <w:fldChar w:fldCharType="end"/>
      </w:r>
      <w:r>
        <w:rPr>
          <w:rFonts w:hint="eastAsia" w:ascii="宋体" w:hAnsi="宋体" w:eastAsia="宋体" w:cs="宋体"/>
        </w:rPr>
        <w:fldChar w:fldCharType="end"/>
      </w:r>
    </w:p>
    <w:p w14:paraId="1CBC71D5">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_Toc25236 </w:instrText>
      </w:r>
      <w:r>
        <w:rPr>
          <w:rFonts w:hint="eastAsia" w:ascii="宋体" w:hAnsi="宋体" w:eastAsia="宋体" w:cs="宋体"/>
        </w:rPr>
        <w:fldChar w:fldCharType="separate"/>
      </w:r>
      <w:r>
        <w:rPr>
          <w:rFonts w:hint="eastAsia" w:ascii="宋体" w:hAnsi="宋体" w:eastAsia="宋体" w:cs="宋体"/>
        </w:rPr>
        <w:t>6.联系方式</w:t>
      </w:r>
      <w:r>
        <w:tab/>
      </w:r>
      <w:r>
        <w:fldChar w:fldCharType="begin"/>
      </w:r>
      <w:r>
        <w:instrText xml:space="preserve"> PAGEREF _Toc25236 \h </w:instrText>
      </w:r>
      <w:r>
        <w:fldChar w:fldCharType="separate"/>
      </w:r>
      <w:r>
        <w:t>3</w:t>
      </w:r>
      <w:r>
        <w:fldChar w:fldCharType="end"/>
      </w:r>
      <w:r>
        <w:rPr>
          <w:rFonts w:hint="eastAsia" w:ascii="宋体" w:hAnsi="宋体" w:eastAsia="宋体" w:cs="宋体"/>
        </w:rPr>
        <w:fldChar w:fldCharType="end"/>
      </w:r>
    </w:p>
    <w:p w14:paraId="7B383128">
      <w:pPr>
        <w:pStyle w:val="15"/>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_Toc19065 </w:instrText>
      </w:r>
      <w:r>
        <w:rPr>
          <w:rFonts w:hint="eastAsia" w:ascii="宋体" w:hAnsi="宋体" w:eastAsia="宋体" w:cs="宋体"/>
        </w:rPr>
        <w:fldChar w:fldCharType="separate"/>
      </w:r>
      <w:r>
        <w:rPr>
          <w:rFonts w:hint="eastAsia"/>
          <w:lang w:val="en-US" w:eastAsia="zh-CN"/>
        </w:rPr>
        <w:t>第二章  响应人须知</w:t>
      </w:r>
      <w:r>
        <w:tab/>
      </w:r>
      <w:r>
        <w:fldChar w:fldCharType="begin"/>
      </w:r>
      <w:r>
        <w:instrText xml:space="preserve"> PAGEREF _Toc19065 \h </w:instrText>
      </w:r>
      <w:r>
        <w:fldChar w:fldCharType="separate"/>
      </w:r>
      <w:r>
        <w:t>4</w:t>
      </w:r>
      <w:r>
        <w:fldChar w:fldCharType="end"/>
      </w:r>
      <w:r>
        <w:rPr>
          <w:rFonts w:hint="eastAsia" w:ascii="宋体" w:hAnsi="宋体" w:eastAsia="宋体" w:cs="宋体"/>
        </w:rPr>
        <w:fldChar w:fldCharType="end"/>
      </w:r>
    </w:p>
    <w:p w14:paraId="14878C7E">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_Toc15182 </w:instrText>
      </w:r>
      <w:r>
        <w:rPr>
          <w:rFonts w:hint="eastAsia" w:ascii="宋体" w:hAnsi="宋体" w:eastAsia="宋体" w:cs="宋体"/>
        </w:rPr>
        <w:fldChar w:fldCharType="separate"/>
      </w:r>
      <w:r>
        <w:rPr>
          <w:rFonts w:hint="eastAsia"/>
        </w:rPr>
        <w:t>1. 总则</w:t>
      </w:r>
      <w:r>
        <w:tab/>
      </w:r>
      <w:r>
        <w:fldChar w:fldCharType="begin"/>
      </w:r>
      <w:r>
        <w:instrText xml:space="preserve"> PAGEREF _Toc15182 \h </w:instrText>
      </w:r>
      <w:r>
        <w:fldChar w:fldCharType="separate"/>
      </w:r>
      <w:r>
        <w:t>8</w:t>
      </w:r>
      <w:r>
        <w:fldChar w:fldCharType="end"/>
      </w:r>
      <w:r>
        <w:rPr>
          <w:rFonts w:hint="eastAsia" w:ascii="宋体" w:hAnsi="宋体" w:eastAsia="宋体" w:cs="宋体"/>
        </w:rPr>
        <w:fldChar w:fldCharType="end"/>
      </w:r>
    </w:p>
    <w:p w14:paraId="67B15F9B">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_Toc20533 </w:instrText>
      </w:r>
      <w:r>
        <w:rPr>
          <w:rFonts w:hint="eastAsia" w:ascii="宋体" w:hAnsi="宋体" w:eastAsia="宋体" w:cs="宋体"/>
        </w:rPr>
        <w:fldChar w:fldCharType="separate"/>
      </w:r>
      <w:r>
        <w:rPr>
          <w:rFonts w:hint="eastAsia"/>
        </w:rPr>
        <w:t>2. 磋商文件</w:t>
      </w:r>
      <w:r>
        <w:tab/>
      </w:r>
      <w:r>
        <w:fldChar w:fldCharType="begin"/>
      </w:r>
      <w:r>
        <w:instrText xml:space="preserve"> PAGEREF _Toc20533 \h </w:instrText>
      </w:r>
      <w:r>
        <w:fldChar w:fldCharType="separate"/>
      </w:r>
      <w:r>
        <w:t>9</w:t>
      </w:r>
      <w:r>
        <w:fldChar w:fldCharType="end"/>
      </w:r>
      <w:r>
        <w:rPr>
          <w:rFonts w:hint="eastAsia" w:ascii="宋体" w:hAnsi="宋体" w:eastAsia="宋体" w:cs="宋体"/>
        </w:rPr>
        <w:fldChar w:fldCharType="end"/>
      </w:r>
    </w:p>
    <w:p w14:paraId="63869D66">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_Toc30846 </w:instrText>
      </w:r>
      <w:r>
        <w:rPr>
          <w:rFonts w:hint="eastAsia" w:ascii="宋体" w:hAnsi="宋体" w:eastAsia="宋体" w:cs="宋体"/>
        </w:rPr>
        <w:fldChar w:fldCharType="separate"/>
      </w:r>
      <w:r>
        <w:rPr>
          <w:rFonts w:hint="eastAsia"/>
        </w:rPr>
        <w:t>3. 响应文件</w:t>
      </w:r>
      <w:r>
        <w:tab/>
      </w:r>
      <w:r>
        <w:fldChar w:fldCharType="begin"/>
      </w:r>
      <w:r>
        <w:instrText xml:space="preserve"> PAGEREF _Toc30846 \h </w:instrText>
      </w:r>
      <w:r>
        <w:fldChar w:fldCharType="separate"/>
      </w:r>
      <w:r>
        <w:t>10</w:t>
      </w:r>
      <w:r>
        <w:fldChar w:fldCharType="end"/>
      </w:r>
      <w:r>
        <w:rPr>
          <w:rFonts w:hint="eastAsia" w:ascii="宋体" w:hAnsi="宋体" w:eastAsia="宋体" w:cs="宋体"/>
        </w:rPr>
        <w:fldChar w:fldCharType="end"/>
      </w:r>
    </w:p>
    <w:p w14:paraId="76D4ABC4">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_Toc13078 </w:instrText>
      </w:r>
      <w:r>
        <w:rPr>
          <w:rFonts w:hint="eastAsia" w:ascii="宋体" w:hAnsi="宋体" w:eastAsia="宋体" w:cs="宋体"/>
        </w:rPr>
        <w:fldChar w:fldCharType="separate"/>
      </w:r>
      <w:r>
        <w:rPr>
          <w:rFonts w:hint="eastAsia"/>
        </w:rPr>
        <w:t>4. 磋商</w:t>
      </w:r>
      <w:r>
        <w:tab/>
      </w:r>
      <w:r>
        <w:fldChar w:fldCharType="begin"/>
      </w:r>
      <w:r>
        <w:instrText xml:space="preserve"> PAGEREF _Toc13078 \h </w:instrText>
      </w:r>
      <w:r>
        <w:fldChar w:fldCharType="separate"/>
      </w:r>
      <w:r>
        <w:t>12</w:t>
      </w:r>
      <w:r>
        <w:fldChar w:fldCharType="end"/>
      </w:r>
      <w:r>
        <w:rPr>
          <w:rFonts w:hint="eastAsia" w:ascii="宋体" w:hAnsi="宋体" w:eastAsia="宋体" w:cs="宋体"/>
        </w:rPr>
        <w:fldChar w:fldCharType="end"/>
      </w:r>
    </w:p>
    <w:p w14:paraId="3F7B4CD7">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_Toc28583 </w:instrText>
      </w:r>
      <w:r>
        <w:rPr>
          <w:rFonts w:hint="eastAsia" w:ascii="宋体" w:hAnsi="宋体" w:eastAsia="宋体" w:cs="宋体"/>
        </w:rPr>
        <w:fldChar w:fldCharType="separate"/>
      </w:r>
      <w:r>
        <w:rPr>
          <w:rFonts w:hint="eastAsia"/>
        </w:rPr>
        <w:t>5. 磋商开始</w:t>
      </w:r>
      <w:r>
        <w:tab/>
      </w:r>
      <w:r>
        <w:fldChar w:fldCharType="begin"/>
      </w:r>
      <w:r>
        <w:instrText xml:space="preserve"> PAGEREF _Toc28583 \h </w:instrText>
      </w:r>
      <w:r>
        <w:fldChar w:fldCharType="separate"/>
      </w:r>
      <w:r>
        <w:t>13</w:t>
      </w:r>
      <w:r>
        <w:fldChar w:fldCharType="end"/>
      </w:r>
      <w:r>
        <w:rPr>
          <w:rFonts w:hint="eastAsia" w:ascii="宋体" w:hAnsi="宋体" w:eastAsia="宋体" w:cs="宋体"/>
        </w:rPr>
        <w:fldChar w:fldCharType="end"/>
      </w:r>
    </w:p>
    <w:p w14:paraId="53FE63A9">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_Toc8406 </w:instrText>
      </w:r>
      <w:r>
        <w:rPr>
          <w:rFonts w:hint="eastAsia" w:ascii="宋体" w:hAnsi="宋体" w:eastAsia="宋体" w:cs="宋体"/>
        </w:rPr>
        <w:fldChar w:fldCharType="separate"/>
      </w:r>
      <w:r>
        <w:rPr>
          <w:rFonts w:hint="eastAsia" w:ascii="宋体" w:hAnsi="宋体" w:eastAsia="宋体" w:cs="宋体"/>
        </w:rPr>
        <w:t>6. 磋商小组</w:t>
      </w:r>
      <w:r>
        <w:tab/>
      </w:r>
      <w:r>
        <w:fldChar w:fldCharType="begin"/>
      </w:r>
      <w:r>
        <w:instrText xml:space="preserve"> PAGEREF _Toc8406 \h </w:instrText>
      </w:r>
      <w:r>
        <w:fldChar w:fldCharType="separate"/>
      </w:r>
      <w:r>
        <w:t>14</w:t>
      </w:r>
      <w:r>
        <w:fldChar w:fldCharType="end"/>
      </w:r>
      <w:r>
        <w:rPr>
          <w:rFonts w:hint="eastAsia" w:ascii="宋体" w:hAnsi="宋体" w:eastAsia="宋体" w:cs="宋体"/>
        </w:rPr>
        <w:fldChar w:fldCharType="end"/>
      </w:r>
    </w:p>
    <w:p w14:paraId="33A8F0EC">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_Toc5333 </w:instrText>
      </w:r>
      <w:r>
        <w:rPr>
          <w:rFonts w:hint="eastAsia" w:ascii="宋体" w:hAnsi="宋体" w:eastAsia="宋体" w:cs="宋体"/>
        </w:rPr>
        <w:fldChar w:fldCharType="separate"/>
      </w:r>
      <w:r>
        <w:rPr>
          <w:rFonts w:hint="eastAsia" w:ascii="宋体" w:hAnsi="宋体" w:eastAsia="宋体" w:cs="宋体"/>
        </w:rPr>
        <w:t>7. 合同授予</w:t>
      </w:r>
      <w:r>
        <w:tab/>
      </w:r>
      <w:r>
        <w:fldChar w:fldCharType="begin"/>
      </w:r>
      <w:r>
        <w:instrText xml:space="preserve"> PAGEREF _Toc5333 \h </w:instrText>
      </w:r>
      <w:r>
        <w:fldChar w:fldCharType="separate"/>
      </w:r>
      <w:r>
        <w:t>14</w:t>
      </w:r>
      <w:r>
        <w:fldChar w:fldCharType="end"/>
      </w:r>
      <w:r>
        <w:rPr>
          <w:rFonts w:hint="eastAsia" w:ascii="宋体" w:hAnsi="宋体" w:eastAsia="宋体" w:cs="宋体"/>
        </w:rPr>
        <w:fldChar w:fldCharType="end"/>
      </w:r>
    </w:p>
    <w:p w14:paraId="55F82FD8">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_Toc11682 </w:instrText>
      </w:r>
      <w:r>
        <w:rPr>
          <w:rFonts w:hint="eastAsia" w:ascii="宋体" w:hAnsi="宋体" w:eastAsia="宋体" w:cs="宋体"/>
        </w:rPr>
        <w:fldChar w:fldCharType="separate"/>
      </w:r>
      <w:r>
        <w:rPr>
          <w:rFonts w:hint="eastAsia"/>
        </w:rPr>
        <w:t>8. 重新竞争性磋商</w:t>
      </w:r>
      <w:r>
        <w:tab/>
      </w:r>
      <w:r>
        <w:fldChar w:fldCharType="begin"/>
      </w:r>
      <w:r>
        <w:instrText xml:space="preserve"> PAGEREF _Toc11682 \h </w:instrText>
      </w:r>
      <w:r>
        <w:fldChar w:fldCharType="separate"/>
      </w:r>
      <w:r>
        <w:t>15</w:t>
      </w:r>
      <w:r>
        <w:fldChar w:fldCharType="end"/>
      </w:r>
      <w:r>
        <w:rPr>
          <w:rFonts w:hint="eastAsia" w:ascii="宋体" w:hAnsi="宋体" w:eastAsia="宋体" w:cs="宋体"/>
        </w:rPr>
        <w:fldChar w:fldCharType="end"/>
      </w:r>
    </w:p>
    <w:p w14:paraId="0B3ED3B0">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_Toc8840 </w:instrText>
      </w:r>
      <w:r>
        <w:rPr>
          <w:rFonts w:hint="eastAsia" w:ascii="宋体" w:hAnsi="宋体" w:eastAsia="宋体" w:cs="宋体"/>
        </w:rPr>
        <w:fldChar w:fldCharType="separate"/>
      </w:r>
      <w:r>
        <w:rPr>
          <w:rFonts w:hint="eastAsia"/>
        </w:rPr>
        <w:t>9.</w:t>
      </w:r>
      <w:r>
        <w:rPr>
          <w:rFonts w:hint="eastAsia"/>
          <w:lang w:val="en-US" w:eastAsia="zh-CN"/>
        </w:rPr>
        <w:t xml:space="preserve"> </w:t>
      </w:r>
      <w:r>
        <w:rPr>
          <w:rFonts w:hint="eastAsia"/>
        </w:rPr>
        <w:t>纪律和监督</w:t>
      </w:r>
      <w:r>
        <w:tab/>
      </w:r>
      <w:r>
        <w:fldChar w:fldCharType="begin"/>
      </w:r>
      <w:r>
        <w:instrText xml:space="preserve"> PAGEREF _Toc8840 \h </w:instrText>
      </w:r>
      <w:r>
        <w:fldChar w:fldCharType="separate"/>
      </w:r>
      <w:r>
        <w:t>15</w:t>
      </w:r>
      <w:r>
        <w:fldChar w:fldCharType="end"/>
      </w:r>
      <w:r>
        <w:rPr>
          <w:rFonts w:hint="eastAsia" w:ascii="宋体" w:hAnsi="宋体" w:eastAsia="宋体" w:cs="宋体"/>
        </w:rPr>
        <w:fldChar w:fldCharType="end"/>
      </w:r>
    </w:p>
    <w:p w14:paraId="1F92EB64">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_Toc27872 </w:instrText>
      </w:r>
      <w:r>
        <w:rPr>
          <w:rFonts w:hint="eastAsia" w:ascii="宋体" w:hAnsi="宋体" w:eastAsia="宋体" w:cs="宋体"/>
        </w:rPr>
        <w:fldChar w:fldCharType="separate"/>
      </w:r>
      <w:r>
        <w:rPr>
          <w:rFonts w:hint="eastAsia"/>
        </w:rPr>
        <w:t>10. 需要补充的其他内容</w:t>
      </w:r>
      <w:r>
        <w:tab/>
      </w:r>
      <w:r>
        <w:fldChar w:fldCharType="begin"/>
      </w:r>
      <w:r>
        <w:instrText xml:space="preserve"> PAGEREF _Toc27872 \h </w:instrText>
      </w:r>
      <w:r>
        <w:fldChar w:fldCharType="separate"/>
      </w:r>
      <w:r>
        <w:t>16</w:t>
      </w:r>
      <w:r>
        <w:fldChar w:fldCharType="end"/>
      </w:r>
      <w:r>
        <w:rPr>
          <w:rFonts w:hint="eastAsia" w:ascii="宋体" w:hAnsi="宋体" w:eastAsia="宋体" w:cs="宋体"/>
        </w:rPr>
        <w:fldChar w:fldCharType="end"/>
      </w:r>
    </w:p>
    <w:p w14:paraId="5842EA67">
      <w:pPr>
        <w:pStyle w:val="15"/>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_Toc7661 </w:instrText>
      </w:r>
      <w:r>
        <w:rPr>
          <w:rFonts w:hint="eastAsia" w:ascii="宋体" w:hAnsi="宋体" w:eastAsia="宋体" w:cs="宋体"/>
        </w:rPr>
        <w:fldChar w:fldCharType="separate"/>
      </w:r>
      <w:r>
        <w:rPr>
          <w:rFonts w:hint="eastAsia"/>
        </w:rPr>
        <w:t>第三章 评审办法（综合评分法）</w:t>
      </w:r>
      <w:r>
        <w:tab/>
      </w:r>
      <w:r>
        <w:fldChar w:fldCharType="begin"/>
      </w:r>
      <w:r>
        <w:instrText xml:space="preserve"> PAGEREF _Toc7661 \h </w:instrText>
      </w:r>
      <w:r>
        <w:fldChar w:fldCharType="separate"/>
      </w:r>
      <w:r>
        <w:t>17</w:t>
      </w:r>
      <w:r>
        <w:fldChar w:fldCharType="end"/>
      </w:r>
      <w:r>
        <w:rPr>
          <w:rFonts w:hint="eastAsia" w:ascii="宋体" w:hAnsi="宋体" w:eastAsia="宋体" w:cs="宋体"/>
        </w:rPr>
        <w:fldChar w:fldCharType="end"/>
      </w:r>
    </w:p>
    <w:p w14:paraId="6FF040C1">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_Toc30967 </w:instrText>
      </w:r>
      <w:r>
        <w:rPr>
          <w:rFonts w:hint="eastAsia" w:ascii="宋体" w:hAnsi="宋体" w:eastAsia="宋体" w:cs="宋体"/>
        </w:rPr>
        <w:fldChar w:fldCharType="separate"/>
      </w:r>
      <w:r>
        <w:rPr>
          <w:rFonts w:hint="eastAsia"/>
        </w:rPr>
        <w:t>评标办法前附表</w:t>
      </w:r>
      <w:r>
        <w:tab/>
      </w:r>
      <w:r>
        <w:fldChar w:fldCharType="begin"/>
      </w:r>
      <w:r>
        <w:instrText xml:space="preserve"> PAGEREF _Toc30967 \h </w:instrText>
      </w:r>
      <w:r>
        <w:fldChar w:fldCharType="separate"/>
      </w:r>
      <w:r>
        <w:t>17</w:t>
      </w:r>
      <w:r>
        <w:fldChar w:fldCharType="end"/>
      </w:r>
      <w:r>
        <w:rPr>
          <w:rFonts w:hint="eastAsia" w:ascii="宋体" w:hAnsi="宋体" w:eastAsia="宋体" w:cs="宋体"/>
        </w:rPr>
        <w:fldChar w:fldCharType="end"/>
      </w:r>
    </w:p>
    <w:p w14:paraId="21AAC37E">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_Toc501 </w:instrText>
      </w:r>
      <w:r>
        <w:rPr>
          <w:rFonts w:hint="eastAsia" w:ascii="宋体" w:hAnsi="宋体" w:eastAsia="宋体" w:cs="宋体"/>
        </w:rPr>
        <w:fldChar w:fldCharType="separate"/>
      </w:r>
      <w:r>
        <w:rPr>
          <w:rFonts w:hint="eastAsia"/>
        </w:rPr>
        <w:t>1. 评审方法</w:t>
      </w:r>
      <w:r>
        <w:tab/>
      </w:r>
      <w:r>
        <w:fldChar w:fldCharType="begin"/>
      </w:r>
      <w:r>
        <w:instrText xml:space="preserve"> PAGEREF _Toc501 \h </w:instrText>
      </w:r>
      <w:r>
        <w:fldChar w:fldCharType="separate"/>
      </w:r>
      <w:r>
        <w:t>21</w:t>
      </w:r>
      <w:r>
        <w:fldChar w:fldCharType="end"/>
      </w:r>
      <w:r>
        <w:rPr>
          <w:rFonts w:hint="eastAsia" w:ascii="宋体" w:hAnsi="宋体" w:eastAsia="宋体" w:cs="宋体"/>
        </w:rPr>
        <w:fldChar w:fldCharType="end"/>
      </w:r>
    </w:p>
    <w:p w14:paraId="6970AE75">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_Toc10904 </w:instrText>
      </w:r>
      <w:r>
        <w:rPr>
          <w:rFonts w:hint="eastAsia" w:ascii="宋体" w:hAnsi="宋体" w:eastAsia="宋体" w:cs="宋体"/>
        </w:rPr>
        <w:fldChar w:fldCharType="separate"/>
      </w:r>
      <w:r>
        <w:rPr>
          <w:rFonts w:hint="eastAsia" w:ascii="宋体" w:hAnsi="宋体" w:eastAsia="宋体" w:cs="宋体"/>
        </w:rPr>
        <w:t>2. 评审标准</w:t>
      </w:r>
      <w:r>
        <w:tab/>
      </w:r>
      <w:r>
        <w:fldChar w:fldCharType="begin"/>
      </w:r>
      <w:r>
        <w:instrText xml:space="preserve"> PAGEREF _Toc10904 \h </w:instrText>
      </w:r>
      <w:r>
        <w:fldChar w:fldCharType="separate"/>
      </w:r>
      <w:r>
        <w:t>21</w:t>
      </w:r>
      <w:r>
        <w:fldChar w:fldCharType="end"/>
      </w:r>
      <w:r>
        <w:rPr>
          <w:rFonts w:hint="eastAsia" w:ascii="宋体" w:hAnsi="宋体" w:eastAsia="宋体" w:cs="宋体"/>
        </w:rPr>
        <w:fldChar w:fldCharType="end"/>
      </w:r>
    </w:p>
    <w:p w14:paraId="325DAECB">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_Toc28680 </w:instrText>
      </w:r>
      <w:r>
        <w:rPr>
          <w:rFonts w:hint="eastAsia" w:ascii="宋体" w:hAnsi="宋体" w:eastAsia="宋体" w:cs="宋体"/>
        </w:rPr>
        <w:fldChar w:fldCharType="separate"/>
      </w:r>
      <w:r>
        <w:rPr>
          <w:rFonts w:hint="eastAsia" w:ascii="宋体" w:hAnsi="宋体" w:eastAsia="宋体" w:cs="宋体"/>
        </w:rPr>
        <w:t>3. 评审程序</w:t>
      </w:r>
      <w:r>
        <w:tab/>
      </w:r>
      <w:r>
        <w:fldChar w:fldCharType="begin"/>
      </w:r>
      <w:r>
        <w:instrText xml:space="preserve"> PAGEREF _Toc28680 \h </w:instrText>
      </w:r>
      <w:r>
        <w:fldChar w:fldCharType="separate"/>
      </w:r>
      <w:r>
        <w:t>21</w:t>
      </w:r>
      <w:r>
        <w:fldChar w:fldCharType="end"/>
      </w:r>
      <w:r>
        <w:rPr>
          <w:rFonts w:hint="eastAsia" w:ascii="宋体" w:hAnsi="宋体" w:eastAsia="宋体" w:cs="宋体"/>
        </w:rPr>
        <w:fldChar w:fldCharType="end"/>
      </w:r>
    </w:p>
    <w:p w14:paraId="4F70BD7E">
      <w:pPr>
        <w:pStyle w:val="15"/>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_Toc797 </w:instrText>
      </w:r>
      <w:r>
        <w:rPr>
          <w:rFonts w:hint="eastAsia" w:ascii="宋体" w:hAnsi="宋体" w:eastAsia="宋体" w:cs="宋体"/>
        </w:rPr>
        <w:fldChar w:fldCharType="separate"/>
      </w:r>
      <w:r>
        <w:rPr>
          <w:rFonts w:hint="eastAsia"/>
        </w:rPr>
        <w:t>第四章 合同条款及格式</w:t>
      </w:r>
      <w:r>
        <w:tab/>
      </w:r>
      <w:r>
        <w:fldChar w:fldCharType="begin"/>
      </w:r>
      <w:r>
        <w:instrText xml:space="preserve"> PAGEREF _Toc797 \h </w:instrText>
      </w:r>
      <w:r>
        <w:fldChar w:fldCharType="separate"/>
      </w:r>
      <w:r>
        <w:t>24</w:t>
      </w:r>
      <w:r>
        <w:fldChar w:fldCharType="end"/>
      </w:r>
      <w:r>
        <w:rPr>
          <w:rFonts w:hint="eastAsia" w:ascii="宋体" w:hAnsi="宋体" w:eastAsia="宋体" w:cs="宋体"/>
        </w:rPr>
        <w:fldChar w:fldCharType="end"/>
      </w:r>
    </w:p>
    <w:p w14:paraId="7D68769C">
      <w:pPr>
        <w:pStyle w:val="15"/>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_Toc31588 </w:instrText>
      </w:r>
      <w:r>
        <w:rPr>
          <w:rFonts w:hint="eastAsia" w:ascii="宋体" w:hAnsi="宋体" w:eastAsia="宋体" w:cs="宋体"/>
        </w:rPr>
        <w:fldChar w:fldCharType="separate"/>
      </w:r>
      <w:r>
        <w:rPr>
          <w:rFonts w:hint="eastAsia"/>
        </w:rPr>
        <w:t>第五章 采购人需求及技术要求</w:t>
      </w:r>
      <w:r>
        <w:tab/>
      </w:r>
      <w:r>
        <w:fldChar w:fldCharType="begin"/>
      </w:r>
      <w:r>
        <w:instrText xml:space="preserve"> PAGEREF _Toc31588 \h </w:instrText>
      </w:r>
      <w:r>
        <w:fldChar w:fldCharType="separate"/>
      </w:r>
      <w:r>
        <w:t>31</w:t>
      </w:r>
      <w:r>
        <w:fldChar w:fldCharType="end"/>
      </w:r>
      <w:r>
        <w:rPr>
          <w:rFonts w:hint="eastAsia" w:ascii="宋体" w:hAnsi="宋体" w:eastAsia="宋体" w:cs="宋体"/>
        </w:rPr>
        <w:fldChar w:fldCharType="end"/>
      </w:r>
    </w:p>
    <w:p w14:paraId="379DD62B">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_Toc10989 </w:instrText>
      </w:r>
      <w:r>
        <w:rPr>
          <w:rFonts w:hint="eastAsia" w:ascii="宋体" w:hAnsi="宋体" w:eastAsia="宋体" w:cs="宋体"/>
        </w:rPr>
        <w:fldChar w:fldCharType="separate"/>
      </w:r>
      <w:r>
        <w:rPr>
          <w:rFonts w:hint="eastAsia"/>
          <w:lang w:eastAsia="zh-CN"/>
        </w:rPr>
        <w:t>一、</w:t>
      </w:r>
      <w:r>
        <w:rPr>
          <w:rFonts w:hint="eastAsia"/>
        </w:rPr>
        <w:t>招标范围</w:t>
      </w:r>
      <w:r>
        <w:tab/>
      </w:r>
      <w:r>
        <w:fldChar w:fldCharType="begin"/>
      </w:r>
      <w:r>
        <w:instrText xml:space="preserve"> PAGEREF _Toc10989 \h </w:instrText>
      </w:r>
      <w:r>
        <w:fldChar w:fldCharType="separate"/>
      </w:r>
      <w:r>
        <w:t>31</w:t>
      </w:r>
      <w:r>
        <w:fldChar w:fldCharType="end"/>
      </w:r>
      <w:r>
        <w:rPr>
          <w:rFonts w:hint="eastAsia" w:ascii="宋体" w:hAnsi="宋体" w:eastAsia="宋体" w:cs="宋体"/>
        </w:rPr>
        <w:fldChar w:fldCharType="end"/>
      </w:r>
    </w:p>
    <w:p w14:paraId="365CDED5">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_Toc3180 </w:instrText>
      </w:r>
      <w:r>
        <w:rPr>
          <w:rFonts w:hint="eastAsia" w:ascii="宋体" w:hAnsi="宋体" w:eastAsia="宋体" w:cs="宋体"/>
        </w:rPr>
        <w:fldChar w:fldCharType="separate"/>
      </w:r>
      <w:r>
        <w:rPr>
          <w:rFonts w:hint="eastAsia"/>
          <w:lang w:eastAsia="zh-CN"/>
        </w:rPr>
        <w:t>二、</w:t>
      </w:r>
      <w:r>
        <w:rPr>
          <w:rFonts w:hint="eastAsia"/>
        </w:rPr>
        <w:t>技术要求</w:t>
      </w:r>
      <w:r>
        <w:tab/>
      </w:r>
      <w:r>
        <w:fldChar w:fldCharType="begin"/>
      </w:r>
      <w:r>
        <w:instrText xml:space="preserve"> PAGEREF _Toc3180 \h </w:instrText>
      </w:r>
      <w:r>
        <w:fldChar w:fldCharType="separate"/>
      </w:r>
      <w:r>
        <w:t>31</w:t>
      </w:r>
      <w:r>
        <w:fldChar w:fldCharType="end"/>
      </w:r>
      <w:r>
        <w:rPr>
          <w:rFonts w:hint="eastAsia" w:ascii="宋体" w:hAnsi="宋体" w:eastAsia="宋体" w:cs="宋体"/>
        </w:rPr>
        <w:fldChar w:fldCharType="end"/>
      </w:r>
    </w:p>
    <w:p w14:paraId="29CC2E4E">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_Toc11280 </w:instrText>
      </w:r>
      <w:r>
        <w:rPr>
          <w:rFonts w:hint="eastAsia" w:ascii="宋体" w:hAnsi="宋体" w:eastAsia="宋体" w:cs="宋体"/>
        </w:rPr>
        <w:fldChar w:fldCharType="separate"/>
      </w:r>
      <w:r>
        <w:rPr>
          <w:rFonts w:hint="eastAsia"/>
          <w:lang w:eastAsia="zh-CN"/>
        </w:rPr>
        <w:t>三、</w:t>
      </w:r>
      <w:r>
        <w:rPr>
          <w:rFonts w:hint="eastAsia"/>
        </w:rPr>
        <w:t>计算机、打印机类清单：</w:t>
      </w:r>
      <w:r>
        <w:tab/>
      </w:r>
      <w:r>
        <w:fldChar w:fldCharType="begin"/>
      </w:r>
      <w:r>
        <w:instrText xml:space="preserve"> PAGEREF _Toc11280 \h </w:instrText>
      </w:r>
      <w:r>
        <w:fldChar w:fldCharType="separate"/>
      </w:r>
      <w:r>
        <w:t>31</w:t>
      </w:r>
      <w:r>
        <w:fldChar w:fldCharType="end"/>
      </w:r>
      <w:r>
        <w:rPr>
          <w:rFonts w:hint="eastAsia" w:ascii="宋体" w:hAnsi="宋体" w:eastAsia="宋体" w:cs="宋体"/>
        </w:rPr>
        <w:fldChar w:fldCharType="end"/>
      </w:r>
    </w:p>
    <w:p w14:paraId="400F1A28">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_Toc880 </w:instrText>
      </w:r>
      <w:r>
        <w:rPr>
          <w:rFonts w:hint="eastAsia" w:ascii="宋体" w:hAnsi="宋体" w:eastAsia="宋体" w:cs="宋体"/>
        </w:rPr>
        <w:fldChar w:fldCharType="separate"/>
      </w:r>
      <w:r>
        <w:rPr>
          <w:rFonts w:hint="eastAsia"/>
          <w:lang w:eastAsia="zh-CN"/>
        </w:rPr>
        <w:t>四、</w:t>
      </w:r>
      <w:r>
        <w:rPr>
          <w:rFonts w:hint="eastAsia"/>
        </w:rPr>
        <w:t>售后服务要求</w:t>
      </w:r>
      <w:r>
        <w:tab/>
      </w:r>
      <w:r>
        <w:fldChar w:fldCharType="begin"/>
      </w:r>
      <w:r>
        <w:instrText xml:space="preserve"> PAGEREF _Toc880 \h </w:instrText>
      </w:r>
      <w:r>
        <w:fldChar w:fldCharType="separate"/>
      </w:r>
      <w:r>
        <w:t>42</w:t>
      </w:r>
      <w:r>
        <w:fldChar w:fldCharType="end"/>
      </w:r>
      <w:r>
        <w:rPr>
          <w:rFonts w:hint="eastAsia" w:ascii="宋体" w:hAnsi="宋体" w:eastAsia="宋体" w:cs="宋体"/>
        </w:rPr>
        <w:fldChar w:fldCharType="end"/>
      </w:r>
    </w:p>
    <w:p w14:paraId="5D739AAB">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_Toc4696 </w:instrText>
      </w:r>
      <w:r>
        <w:rPr>
          <w:rFonts w:hint="eastAsia" w:ascii="宋体" w:hAnsi="宋体" w:eastAsia="宋体" w:cs="宋体"/>
        </w:rPr>
        <w:fldChar w:fldCharType="separate"/>
      </w:r>
      <w:r>
        <w:rPr>
          <w:rFonts w:hint="eastAsia"/>
          <w:lang w:val="en-US" w:eastAsia="zh-CN"/>
        </w:rPr>
        <w:t>五、</w:t>
      </w:r>
      <w:r>
        <w:rPr>
          <w:rFonts w:hint="eastAsia"/>
        </w:rPr>
        <w:t>验收</w:t>
      </w:r>
      <w:r>
        <w:tab/>
      </w:r>
      <w:r>
        <w:fldChar w:fldCharType="begin"/>
      </w:r>
      <w:r>
        <w:instrText xml:space="preserve"> PAGEREF _Toc4696 \h </w:instrText>
      </w:r>
      <w:r>
        <w:fldChar w:fldCharType="separate"/>
      </w:r>
      <w:r>
        <w:t>43</w:t>
      </w:r>
      <w:r>
        <w:fldChar w:fldCharType="end"/>
      </w:r>
      <w:r>
        <w:rPr>
          <w:rFonts w:hint="eastAsia" w:ascii="宋体" w:hAnsi="宋体" w:eastAsia="宋体" w:cs="宋体"/>
        </w:rPr>
        <w:fldChar w:fldCharType="end"/>
      </w:r>
    </w:p>
    <w:p w14:paraId="2A6CE4DB">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_Toc16056 </w:instrText>
      </w:r>
      <w:r>
        <w:rPr>
          <w:rFonts w:hint="eastAsia" w:ascii="宋体" w:hAnsi="宋体" w:eastAsia="宋体" w:cs="宋体"/>
        </w:rPr>
        <w:fldChar w:fldCharType="separate"/>
      </w:r>
      <w:r>
        <w:rPr>
          <w:rFonts w:hint="eastAsia"/>
          <w:lang w:val="en-US" w:eastAsia="zh-CN"/>
        </w:rPr>
        <w:t>六．</w:t>
      </w:r>
      <w:r>
        <w:rPr>
          <w:rFonts w:hint="eastAsia"/>
        </w:rPr>
        <w:t>到货、安装</w:t>
      </w:r>
      <w:r>
        <w:tab/>
      </w:r>
      <w:r>
        <w:fldChar w:fldCharType="begin"/>
      </w:r>
      <w:r>
        <w:instrText xml:space="preserve"> PAGEREF _Toc16056 \h </w:instrText>
      </w:r>
      <w:r>
        <w:fldChar w:fldCharType="separate"/>
      </w:r>
      <w:r>
        <w:t>43</w:t>
      </w:r>
      <w:r>
        <w:fldChar w:fldCharType="end"/>
      </w:r>
      <w:r>
        <w:rPr>
          <w:rFonts w:hint="eastAsia" w:ascii="宋体" w:hAnsi="宋体" w:eastAsia="宋体" w:cs="宋体"/>
        </w:rPr>
        <w:fldChar w:fldCharType="end"/>
      </w:r>
    </w:p>
    <w:p w14:paraId="082F776B">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_Toc9667 </w:instrText>
      </w:r>
      <w:r>
        <w:rPr>
          <w:rFonts w:hint="eastAsia" w:ascii="宋体" w:hAnsi="宋体" w:eastAsia="宋体" w:cs="宋体"/>
        </w:rPr>
        <w:fldChar w:fldCharType="separate"/>
      </w:r>
      <w:r>
        <w:rPr>
          <w:rFonts w:hint="eastAsia"/>
          <w:lang w:eastAsia="zh-CN"/>
        </w:rPr>
        <w:t>七、</w:t>
      </w:r>
      <w:r>
        <w:rPr>
          <w:rFonts w:hint="eastAsia"/>
        </w:rPr>
        <w:t>付款方式</w:t>
      </w:r>
      <w:r>
        <w:tab/>
      </w:r>
      <w:r>
        <w:fldChar w:fldCharType="begin"/>
      </w:r>
      <w:r>
        <w:instrText xml:space="preserve"> PAGEREF _Toc9667 \h </w:instrText>
      </w:r>
      <w:r>
        <w:fldChar w:fldCharType="separate"/>
      </w:r>
      <w:r>
        <w:t>43</w:t>
      </w:r>
      <w:r>
        <w:fldChar w:fldCharType="end"/>
      </w:r>
      <w:r>
        <w:rPr>
          <w:rFonts w:hint="eastAsia" w:ascii="宋体" w:hAnsi="宋体" w:eastAsia="宋体" w:cs="宋体"/>
        </w:rPr>
        <w:fldChar w:fldCharType="end"/>
      </w:r>
    </w:p>
    <w:p w14:paraId="61E222F8">
      <w:pPr>
        <w:pStyle w:val="15"/>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_Toc1489 </w:instrText>
      </w:r>
      <w:r>
        <w:rPr>
          <w:rFonts w:hint="eastAsia" w:ascii="宋体" w:hAnsi="宋体" w:eastAsia="宋体" w:cs="宋体"/>
        </w:rPr>
        <w:fldChar w:fldCharType="separate"/>
      </w:r>
      <w:r>
        <w:rPr>
          <w:rFonts w:hint="eastAsia"/>
        </w:rPr>
        <w:t>第六章 竞争性磋商响应文件格式</w:t>
      </w:r>
      <w:r>
        <w:tab/>
      </w:r>
      <w:r>
        <w:fldChar w:fldCharType="begin"/>
      </w:r>
      <w:r>
        <w:instrText xml:space="preserve"> PAGEREF _Toc1489 \h </w:instrText>
      </w:r>
      <w:r>
        <w:fldChar w:fldCharType="separate"/>
      </w:r>
      <w:r>
        <w:t>44</w:t>
      </w:r>
      <w:r>
        <w:fldChar w:fldCharType="end"/>
      </w:r>
      <w:r>
        <w:rPr>
          <w:rFonts w:hint="eastAsia" w:ascii="宋体" w:hAnsi="宋体" w:eastAsia="宋体" w:cs="宋体"/>
        </w:rPr>
        <w:fldChar w:fldCharType="end"/>
      </w:r>
    </w:p>
    <w:p w14:paraId="461838F4">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_Toc22790 </w:instrText>
      </w:r>
      <w:r>
        <w:rPr>
          <w:rFonts w:hint="eastAsia" w:ascii="宋体" w:hAnsi="宋体" w:eastAsia="宋体" w:cs="宋体"/>
        </w:rPr>
        <w:fldChar w:fldCharType="separate"/>
      </w:r>
      <w:r>
        <w:rPr>
          <w:rFonts w:hint="eastAsia" w:ascii="宋体" w:hAnsi="宋体" w:eastAsia="宋体" w:cs="宋体"/>
          <w:szCs w:val="52"/>
        </w:rPr>
        <w:t>响应文件商务部分</w:t>
      </w:r>
      <w:r>
        <w:tab/>
      </w:r>
      <w:r>
        <w:fldChar w:fldCharType="begin"/>
      </w:r>
      <w:r>
        <w:instrText xml:space="preserve"> PAGEREF _Toc22790 \h </w:instrText>
      </w:r>
      <w:r>
        <w:fldChar w:fldCharType="separate"/>
      </w:r>
      <w:r>
        <w:t>46</w:t>
      </w:r>
      <w:r>
        <w:fldChar w:fldCharType="end"/>
      </w:r>
      <w:r>
        <w:rPr>
          <w:rFonts w:hint="eastAsia" w:ascii="宋体" w:hAnsi="宋体" w:eastAsia="宋体" w:cs="宋体"/>
        </w:rPr>
        <w:fldChar w:fldCharType="end"/>
      </w:r>
    </w:p>
    <w:p w14:paraId="6F1D5487">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_Toc11383 </w:instrText>
      </w:r>
      <w:r>
        <w:rPr>
          <w:rFonts w:hint="eastAsia" w:ascii="宋体" w:hAnsi="宋体" w:eastAsia="宋体" w:cs="宋体"/>
        </w:rPr>
        <w:fldChar w:fldCharType="separate"/>
      </w:r>
      <w:r>
        <w:rPr>
          <w:rFonts w:hint="eastAsia"/>
        </w:rPr>
        <w:t>一、磋商函</w:t>
      </w:r>
      <w:r>
        <w:rPr>
          <w:rFonts w:hint="eastAsia"/>
          <w:lang w:eastAsia="zh-CN"/>
        </w:rPr>
        <w:t>及磋商函附录</w:t>
      </w:r>
      <w:r>
        <w:tab/>
      </w:r>
      <w:r>
        <w:fldChar w:fldCharType="begin"/>
      </w:r>
      <w:r>
        <w:instrText xml:space="preserve"> PAGEREF _Toc11383 \h </w:instrText>
      </w:r>
      <w:r>
        <w:fldChar w:fldCharType="separate"/>
      </w:r>
      <w:r>
        <w:t>47</w:t>
      </w:r>
      <w:r>
        <w:fldChar w:fldCharType="end"/>
      </w:r>
      <w:r>
        <w:rPr>
          <w:rFonts w:hint="eastAsia" w:ascii="宋体" w:hAnsi="宋体" w:eastAsia="宋体" w:cs="宋体"/>
        </w:rPr>
        <w:fldChar w:fldCharType="end"/>
      </w:r>
    </w:p>
    <w:p w14:paraId="18706586">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_Toc5476 </w:instrText>
      </w:r>
      <w:r>
        <w:rPr>
          <w:rFonts w:hint="eastAsia" w:ascii="宋体" w:hAnsi="宋体" w:eastAsia="宋体" w:cs="宋体"/>
        </w:rPr>
        <w:fldChar w:fldCharType="separate"/>
      </w:r>
      <w:r>
        <w:rPr>
          <w:rFonts w:hint="eastAsia"/>
          <w:lang w:val="en-US" w:eastAsia="zh-CN"/>
        </w:rPr>
        <w:t>1、磋商函</w:t>
      </w:r>
      <w:r>
        <w:tab/>
      </w:r>
      <w:r>
        <w:fldChar w:fldCharType="begin"/>
      </w:r>
      <w:r>
        <w:instrText xml:space="preserve"> PAGEREF _Toc5476 \h </w:instrText>
      </w:r>
      <w:r>
        <w:fldChar w:fldCharType="separate"/>
      </w:r>
      <w:r>
        <w:t>47</w:t>
      </w:r>
      <w:r>
        <w:fldChar w:fldCharType="end"/>
      </w:r>
      <w:r>
        <w:rPr>
          <w:rFonts w:hint="eastAsia" w:ascii="宋体" w:hAnsi="宋体" w:eastAsia="宋体" w:cs="宋体"/>
        </w:rPr>
        <w:fldChar w:fldCharType="end"/>
      </w:r>
    </w:p>
    <w:p w14:paraId="32C95461">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_Toc4492 </w:instrText>
      </w:r>
      <w:r>
        <w:rPr>
          <w:rFonts w:hint="eastAsia" w:ascii="宋体" w:hAnsi="宋体" w:eastAsia="宋体" w:cs="宋体"/>
        </w:rPr>
        <w:fldChar w:fldCharType="separate"/>
      </w:r>
      <w:r>
        <w:rPr>
          <w:rFonts w:hint="eastAsia"/>
          <w:lang w:val="en-US" w:eastAsia="zh-CN"/>
        </w:rPr>
        <w:t>2</w:t>
      </w:r>
      <w:r>
        <w:rPr>
          <w:rFonts w:hint="eastAsia"/>
        </w:rPr>
        <w:t>、磋商函附录</w:t>
      </w:r>
      <w:r>
        <w:tab/>
      </w:r>
      <w:r>
        <w:fldChar w:fldCharType="begin"/>
      </w:r>
      <w:r>
        <w:instrText xml:space="preserve"> PAGEREF _Toc4492 \h </w:instrText>
      </w:r>
      <w:r>
        <w:fldChar w:fldCharType="separate"/>
      </w:r>
      <w:r>
        <w:t>48</w:t>
      </w:r>
      <w:r>
        <w:fldChar w:fldCharType="end"/>
      </w:r>
      <w:r>
        <w:rPr>
          <w:rFonts w:hint="eastAsia" w:ascii="宋体" w:hAnsi="宋体" w:eastAsia="宋体" w:cs="宋体"/>
        </w:rPr>
        <w:fldChar w:fldCharType="end"/>
      </w:r>
    </w:p>
    <w:p w14:paraId="2A652141">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_Toc5689 </w:instrText>
      </w:r>
      <w:r>
        <w:rPr>
          <w:rFonts w:hint="eastAsia" w:ascii="宋体" w:hAnsi="宋体" w:eastAsia="宋体" w:cs="宋体"/>
        </w:rPr>
        <w:fldChar w:fldCharType="separate"/>
      </w:r>
      <w:r>
        <w:rPr>
          <w:rFonts w:hint="eastAsia"/>
          <w:lang w:val="en-US" w:eastAsia="zh-CN"/>
        </w:rPr>
        <w:t>二</w:t>
      </w:r>
      <w:r>
        <w:rPr>
          <w:rFonts w:hint="eastAsia"/>
          <w:lang w:eastAsia="zh-CN"/>
        </w:rPr>
        <w:t>、</w:t>
      </w:r>
      <w:r>
        <w:rPr>
          <w:rFonts w:hint="eastAsia"/>
          <w:lang w:val="en-US" w:eastAsia="zh-CN"/>
        </w:rPr>
        <w:t>货物分项报价表</w:t>
      </w:r>
      <w:r>
        <w:tab/>
      </w:r>
      <w:r>
        <w:fldChar w:fldCharType="begin"/>
      </w:r>
      <w:r>
        <w:instrText xml:space="preserve"> PAGEREF _Toc5689 \h </w:instrText>
      </w:r>
      <w:r>
        <w:fldChar w:fldCharType="separate"/>
      </w:r>
      <w:r>
        <w:t>49</w:t>
      </w:r>
      <w:r>
        <w:fldChar w:fldCharType="end"/>
      </w:r>
      <w:r>
        <w:rPr>
          <w:rFonts w:hint="eastAsia" w:ascii="宋体" w:hAnsi="宋体" w:eastAsia="宋体" w:cs="宋体"/>
        </w:rPr>
        <w:fldChar w:fldCharType="end"/>
      </w:r>
    </w:p>
    <w:p w14:paraId="1E7D1EB9">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_Toc758 </w:instrText>
      </w:r>
      <w:r>
        <w:rPr>
          <w:rFonts w:hint="eastAsia" w:ascii="宋体" w:hAnsi="宋体" w:eastAsia="宋体" w:cs="宋体"/>
        </w:rPr>
        <w:fldChar w:fldCharType="separate"/>
      </w:r>
      <w:r>
        <w:rPr>
          <w:rFonts w:hint="eastAsia"/>
          <w:lang w:val="en-US" w:eastAsia="zh-CN"/>
        </w:rPr>
        <w:t>1、计算机、打印机类分项报价表</w:t>
      </w:r>
      <w:r>
        <w:tab/>
      </w:r>
      <w:r>
        <w:fldChar w:fldCharType="begin"/>
      </w:r>
      <w:r>
        <w:instrText xml:space="preserve"> PAGEREF _Toc758 \h </w:instrText>
      </w:r>
      <w:r>
        <w:fldChar w:fldCharType="separate"/>
      </w:r>
      <w:r>
        <w:t>49</w:t>
      </w:r>
      <w:r>
        <w:fldChar w:fldCharType="end"/>
      </w:r>
      <w:r>
        <w:rPr>
          <w:rFonts w:hint="eastAsia" w:ascii="宋体" w:hAnsi="宋体" w:eastAsia="宋体" w:cs="宋体"/>
        </w:rPr>
        <w:fldChar w:fldCharType="end"/>
      </w:r>
    </w:p>
    <w:p w14:paraId="7BA0E13B">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_Toc23010 </w:instrText>
      </w:r>
      <w:r>
        <w:rPr>
          <w:rFonts w:hint="eastAsia" w:ascii="宋体" w:hAnsi="宋体" w:eastAsia="宋体" w:cs="宋体"/>
        </w:rPr>
        <w:fldChar w:fldCharType="separate"/>
      </w:r>
      <w:r>
        <w:rPr>
          <w:rFonts w:hint="eastAsia" w:ascii="宋体" w:hAnsi="宋体" w:eastAsia="宋体" w:cs="宋体"/>
          <w:lang w:val="en-US" w:eastAsia="zh-CN"/>
        </w:rPr>
        <w:t>2、</w:t>
      </w:r>
      <w:r>
        <w:rPr>
          <w:rFonts w:hint="eastAsia"/>
          <w:bCs/>
        </w:rPr>
        <w:t>耗材类</w:t>
      </w:r>
      <w:r>
        <w:rPr>
          <w:rFonts w:hint="eastAsia"/>
          <w:bCs/>
          <w:lang w:eastAsia="zh-CN"/>
        </w:rPr>
        <w:t>分项报价表</w:t>
      </w:r>
      <w:r>
        <w:tab/>
      </w:r>
      <w:r>
        <w:fldChar w:fldCharType="begin"/>
      </w:r>
      <w:r>
        <w:instrText xml:space="preserve"> PAGEREF _Toc23010 \h </w:instrText>
      </w:r>
      <w:r>
        <w:fldChar w:fldCharType="separate"/>
      </w:r>
      <w:r>
        <w:t>50</w:t>
      </w:r>
      <w:r>
        <w:fldChar w:fldCharType="end"/>
      </w:r>
      <w:r>
        <w:rPr>
          <w:rFonts w:hint="eastAsia" w:ascii="宋体" w:hAnsi="宋体" w:eastAsia="宋体" w:cs="宋体"/>
        </w:rPr>
        <w:fldChar w:fldCharType="end"/>
      </w:r>
    </w:p>
    <w:p w14:paraId="016A3A05">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_Toc5479 </w:instrText>
      </w:r>
      <w:r>
        <w:rPr>
          <w:rFonts w:hint="eastAsia" w:ascii="宋体" w:hAnsi="宋体" w:eastAsia="宋体" w:cs="宋体"/>
        </w:rPr>
        <w:fldChar w:fldCharType="separate"/>
      </w:r>
      <w:r>
        <w:rPr>
          <w:rFonts w:hint="eastAsia"/>
        </w:rPr>
        <w:t>三、响应人承诺书</w:t>
      </w:r>
      <w:r>
        <w:tab/>
      </w:r>
      <w:r>
        <w:fldChar w:fldCharType="begin"/>
      </w:r>
      <w:r>
        <w:instrText xml:space="preserve"> PAGEREF _Toc5479 \h </w:instrText>
      </w:r>
      <w:r>
        <w:fldChar w:fldCharType="separate"/>
      </w:r>
      <w:r>
        <w:t>54</w:t>
      </w:r>
      <w:r>
        <w:fldChar w:fldCharType="end"/>
      </w:r>
      <w:r>
        <w:rPr>
          <w:rFonts w:hint="eastAsia" w:ascii="宋体" w:hAnsi="宋体" w:eastAsia="宋体" w:cs="宋体"/>
        </w:rPr>
        <w:fldChar w:fldCharType="end"/>
      </w:r>
    </w:p>
    <w:p w14:paraId="2D25CCFC">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_Toc6892 </w:instrText>
      </w:r>
      <w:r>
        <w:rPr>
          <w:rFonts w:hint="eastAsia" w:ascii="宋体" w:hAnsi="宋体" w:eastAsia="宋体" w:cs="宋体"/>
        </w:rPr>
        <w:fldChar w:fldCharType="separate"/>
      </w:r>
      <w:r>
        <w:rPr>
          <w:rFonts w:hint="eastAsia"/>
        </w:rPr>
        <w:t>四、法定代表人身份证明</w:t>
      </w:r>
      <w:r>
        <w:tab/>
      </w:r>
      <w:r>
        <w:fldChar w:fldCharType="begin"/>
      </w:r>
      <w:r>
        <w:instrText xml:space="preserve"> PAGEREF _Toc6892 \h </w:instrText>
      </w:r>
      <w:r>
        <w:fldChar w:fldCharType="separate"/>
      </w:r>
      <w:r>
        <w:t>55</w:t>
      </w:r>
      <w:r>
        <w:fldChar w:fldCharType="end"/>
      </w:r>
      <w:r>
        <w:rPr>
          <w:rFonts w:hint="eastAsia" w:ascii="宋体" w:hAnsi="宋体" w:eastAsia="宋体" w:cs="宋体"/>
        </w:rPr>
        <w:fldChar w:fldCharType="end"/>
      </w:r>
    </w:p>
    <w:p w14:paraId="0E6979DD">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_Toc14163 </w:instrText>
      </w:r>
      <w:r>
        <w:rPr>
          <w:rFonts w:hint="eastAsia" w:ascii="宋体" w:hAnsi="宋体" w:eastAsia="宋体" w:cs="宋体"/>
        </w:rPr>
        <w:fldChar w:fldCharType="separate"/>
      </w:r>
      <w:r>
        <w:rPr>
          <w:rFonts w:hint="eastAsia"/>
        </w:rPr>
        <w:t>五、授权委托书</w:t>
      </w:r>
      <w:r>
        <w:tab/>
      </w:r>
      <w:r>
        <w:fldChar w:fldCharType="begin"/>
      </w:r>
      <w:r>
        <w:instrText xml:space="preserve"> PAGEREF _Toc14163 \h </w:instrText>
      </w:r>
      <w:r>
        <w:fldChar w:fldCharType="separate"/>
      </w:r>
      <w:r>
        <w:t>56</w:t>
      </w:r>
      <w:r>
        <w:fldChar w:fldCharType="end"/>
      </w:r>
      <w:r>
        <w:rPr>
          <w:rFonts w:hint="eastAsia" w:ascii="宋体" w:hAnsi="宋体" w:eastAsia="宋体" w:cs="宋体"/>
        </w:rPr>
        <w:fldChar w:fldCharType="end"/>
      </w:r>
    </w:p>
    <w:p w14:paraId="2968B080">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_Toc7085 </w:instrText>
      </w:r>
      <w:r>
        <w:rPr>
          <w:rFonts w:hint="eastAsia" w:ascii="宋体" w:hAnsi="宋体" w:eastAsia="宋体" w:cs="宋体"/>
        </w:rPr>
        <w:fldChar w:fldCharType="separate"/>
      </w:r>
      <w:r>
        <w:rPr>
          <w:rFonts w:hint="eastAsia"/>
        </w:rPr>
        <w:t>六、服务方案</w:t>
      </w:r>
      <w:r>
        <w:tab/>
      </w:r>
      <w:r>
        <w:fldChar w:fldCharType="begin"/>
      </w:r>
      <w:r>
        <w:instrText xml:space="preserve"> PAGEREF _Toc7085 \h </w:instrText>
      </w:r>
      <w:r>
        <w:fldChar w:fldCharType="separate"/>
      </w:r>
      <w:r>
        <w:t>57</w:t>
      </w:r>
      <w:r>
        <w:fldChar w:fldCharType="end"/>
      </w:r>
      <w:r>
        <w:rPr>
          <w:rFonts w:hint="eastAsia" w:ascii="宋体" w:hAnsi="宋体" w:eastAsia="宋体" w:cs="宋体"/>
        </w:rPr>
        <w:fldChar w:fldCharType="end"/>
      </w:r>
    </w:p>
    <w:p w14:paraId="4FDBB115">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_Toc16544 </w:instrText>
      </w:r>
      <w:r>
        <w:rPr>
          <w:rFonts w:hint="eastAsia" w:ascii="宋体" w:hAnsi="宋体" w:eastAsia="宋体" w:cs="宋体"/>
        </w:rPr>
        <w:fldChar w:fldCharType="separate"/>
      </w:r>
      <w:r>
        <w:rPr>
          <w:rFonts w:hint="eastAsia"/>
        </w:rPr>
        <w:t>七、资格审查资料</w:t>
      </w:r>
      <w:r>
        <w:tab/>
      </w:r>
      <w:r>
        <w:fldChar w:fldCharType="begin"/>
      </w:r>
      <w:r>
        <w:instrText xml:space="preserve"> PAGEREF _Toc16544 \h </w:instrText>
      </w:r>
      <w:r>
        <w:fldChar w:fldCharType="separate"/>
      </w:r>
      <w:r>
        <w:t>58</w:t>
      </w:r>
      <w:r>
        <w:fldChar w:fldCharType="end"/>
      </w:r>
      <w:r>
        <w:rPr>
          <w:rFonts w:hint="eastAsia" w:ascii="宋体" w:hAnsi="宋体" w:eastAsia="宋体" w:cs="宋体"/>
        </w:rPr>
        <w:fldChar w:fldCharType="end"/>
      </w:r>
    </w:p>
    <w:p w14:paraId="051CBEDC">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_Toc8118 </w:instrText>
      </w:r>
      <w:r>
        <w:rPr>
          <w:rFonts w:hint="eastAsia" w:ascii="宋体" w:hAnsi="宋体" w:eastAsia="宋体" w:cs="宋体"/>
        </w:rPr>
        <w:fldChar w:fldCharType="separate"/>
      </w:r>
      <w:r>
        <w:rPr>
          <w:rFonts w:hint="eastAsia" w:ascii="宋体" w:hAnsi="宋体" w:eastAsia="宋体" w:cs="宋体"/>
        </w:rPr>
        <w:t>（一）响应人基本情况表</w:t>
      </w:r>
      <w:r>
        <w:tab/>
      </w:r>
      <w:r>
        <w:fldChar w:fldCharType="begin"/>
      </w:r>
      <w:r>
        <w:instrText xml:space="preserve"> PAGEREF _Toc8118 \h </w:instrText>
      </w:r>
      <w:r>
        <w:fldChar w:fldCharType="separate"/>
      </w:r>
      <w:r>
        <w:t>58</w:t>
      </w:r>
      <w:r>
        <w:fldChar w:fldCharType="end"/>
      </w:r>
      <w:r>
        <w:rPr>
          <w:rFonts w:hint="eastAsia" w:ascii="宋体" w:hAnsi="宋体" w:eastAsia="宋体" w:cs="宋体"/>
        </w:rPr>
        <w:fldChar w:fldCharType="end"/>
      </w:r>
    </w:p>
    <w:p w14:paraId="41725DCC">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_Toc3287 </w:instrText>
      </w:r>
      <w:r>
        <w:rPr>
          <w:rFonts w:hint="eastAsia" w:ascii="宋体" w:hAnsi="宋体" w:eastAsia="宋体" w:cs="宋体"/>
        </w:rPr>
        <w:fldChar w:fldCharType="separate"/>
      </w:r>
      <w:r>
        <w:rPr>
          <w:rFonts w:hint="eastAsia" w:ascii="宋体" w:hAnsi="宋体" w:eastAsia="宋体" w:cs="宋体"/>
        </w:rPr>
        <w:t>（二）书面声明</w:t>
      </w:r>
      <w:r>
        <w:tab/>
      </w:r>
      <w:r>
        <w:fldChar w:fldCharType="begin"/>
      </w:r>
      <w:r>
        <w:instrText xml:space="preserve"> PAGEREF _Toc3287 \h </w:instrText>
      </w:r>
      <w:r>
        <w:fldChar w:fldCharType="separate"/>
      </w:r>
      <w:r>
        <w:t>59</w:t>
      </w:r>
      <w:r>
        <w:fldChar w:fldCharType="end"/>
      </w:r>
      <w:r>
        <w:rPr>
          <w:rFonts w:hint="eastAsia" w:ascii="宋体" w:hAnsi="宋体" w:eastAsia="宋体" w:cs="宋体"/>
        </w:rPr>
        <w:fldChar w:fldCharType="end"/>
      </w:r>
    </w:p>
    <w:p w14:paraId="6B5F5443">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_Toc2493 </w:instrText>
      </w:r>
      <w:r>
        <w:rPr>
          <w:rFonts w:hint="eastAsia" w:ascii="宋体" w:hAnsi="宋体" w:eastAsia="宋体" w:cs="宋体"/>
        </w:rPr>
        <w:fldChar w:fldCharType="separate"/>
      </w:r>
      <w:r>
        <w:rPr>
          <w:rFonts w:hint="eastAsia"/>
          <w:lang w:val="en-US" w:eastAsia="zh-CN"/>
        </w:rPr>
        <w:t>八</w:t>
      </w:r>
      <w:r>
        <w:rPr>
          <w:rFonts w:hint="eastAsia"/>
        </w:rPr>
        <w:t>、反商业贿赂承诺书</w:t>
      </w:r>
      <w:r>
        <w:tab/>
      </w:r>
      <w:r>
        <w:fldChar w:fldCharType="begin"/>
      </w:r>
      <w:r>
        <w:instrText xml:space="preserve"> PAGEREF _Toc2493 \h </w:instrText>
      </w:r>
      <w:r>
        <w:fldChar w:fldCharType="separate"/>
      </w:r>
      <w:r>
        <w:t>60</w:t>
      </w:r>
      <w:r>
        <w:fldChar w:fldCharType="end"/>
      </w:r>
      <w:r>
        <w:rPr>
          <w:rFonts w:hint="eastAsia" w:ascii="宋体" w:hAnsi="宋体" w:eastAsia="宋体" w:cs="宋体"/>
        </w:rPr>
        <w:fldChar w:fldCharType="end"/>
      </w:r>
    </w:p>
    <w:p w14:paraId="7A8762C9">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_Toc23518 </w:instrText>
      </w:r>
      <w:r>
        <w:rPr>
          <w:rFonts w:hint="eastAsia" w:ascii="宋体" w:hAnsi="宋体" w:eastAsia="宋体" w:cs="宋体"/>
        </w:rPr>
        <w:fldChar w:fldCharType="separate"/>
      </w:r>
      <w:r>
        <w:rPr>
          <w:rFonts w:hint="eastAsia"/>
          <w:lang w:val="en-US" w:eastAsia="zh-CN"/>
        </w:rPr>
        <w:t>九</w:t>
      </w:r>
      <w:r>
        <w:rPr>
          <w:rFonts w:hint="eastAsia"/>
        </w:rPr>
        <w:t>、拟投入的人员汇总表</w:t>
      </w:r>
      <w:r>
        <w:tab/>
      </w:r>
      <w:r>
        <w:fldChar w:fldCharType="begin"/>
      </w:r>
      <w:r>
        <w:instrText xml:space="preserve"> PAGEREF _Toc23518 \h </w:instrText>
      </w:r>
      <w:r>
        <w:fldChar w:fldCharType="separate"/>
      </w:r>
      <w:r>
        <w:t>61</w:t>
      </w:r>
      <w:r>
        <w:fldChar w:fldCharType="end"/>
      </w:r>
      <w:r>
        <w:rPr>
          <w:rFonts w:hint="eastAsia" w:ascii="宋体" w:hAnsi="宋体" w:eastAsia="宋体" w:cs="宋体"/>
        </w:rPr>
        <w:fldChar w:fldCharType="end"/>
      </w:r>
    </w:p>
    <w:p w14:paraId="41C46C26">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_Toc2544 </w:instrText>
      </w:r>
      <w:r>
        <w:rPr>
          <w:rFonts w:hint="eastAsia" w:ascii="宋体" w:hAnsi="宋体" w:eastAsia="宋体" w:cs="宋体"/>
        </w:rPr>
        <w:fldChar w:fldCharType="separate"/>
      </w:r>
      <w:r>
        <w:rPr>
          <w:rFonts w:hint="eastAsia"/>
        </w:rPr>
        <w:t>十、近年类似项目业绩</w:t>
      </w:r>
      <w:r>
        <w:tab/>
      </w:r>
      <w:r>
        <w:fldChar w:fldCharType="begin"/>
      </w:r>
      <w:r>
        <w:instrText xml:space="preserve"> PAGEREF _Toc2544 \h </w:instrText>
      </w:r>
      <w:r>
        <w:fldChar w:fldCharType="separate"/>
      </w:r>
      <w:r>
        <w:t>62</w:t>
      </w:r>
      <w:r>
        <w:fldChar w:fldCharType="end"/>
      </w:r>
      <w:r>
        <w:rPr>
          <w:rFonts w:hint="eastAsia" w:ascii="宋体" w:hAnsi="宋体" w:eastAsia="宋体" w:cs="宋体"/>
        </w:rPr>
        <w:fldChar w:fldCharType="end"/>
      </w:r>
    </w:p>
    <w:p w14:paraId="05741648">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_Toc21893 </w:instrText>
      </w:r>
      <w:r>
        <w:rPr>
          <w:rFonts w:hint="eastAsia" w:ascii="宋体" w:hAnsi="宋体" w:eastAsia="宋体" w:cs="宋体"/>
        </w:rPr>
        <w:fldChar w:fldCharType="separate"/>
      </w:r>
      <w:r>
        <w:rPr>
          <w:rFonts w:hint="eastAsia"/>
        </w:rPr>
        <w:t>十</w:t>
      </w:r>
      <w:r>
        <w:rPr>
          <w:rFonts w:hint="eastAsia"/>
          <w:lang w:val="en-US" w:eastAsia="zh-CN"/>
        </w:rPr>
        <w:t>一</w:t>
      </w:r>
      <w:r>
        <w:rPr>
          <w:rFonts w:hint="eastAsia"/>
        </w:rPr>
        <w:t>、其他材料</w:t>
      </w:r>
      <w:r>
        <w:tab/>
      </w:r>
      <w:r>
        <w:fldChar w:fldCharType="begin"/>
      </w:r>
      <w:r>
        <w:instrText xml:space="preserve"> PAGEREF _Toc21893 \h </w:instrText>
      </w:r>
      <w:r>
        <w:fldChar w:fldCharType="separate"/>
      </w:r>
      <w:r>
        <w:t>63</w:t>
      </w:r>
      <w:r>
        <w:fldChar w:fldCharType="end"/>
      </w:r>
      <w:r>
        <w:rPr>
          <w:rFonts w:hint="eastAsia" w:ascii="宋体" w:hAnsi="宋体" w:eastAsia="宋体" w:cs="宋体"/>
        </w:rPr>
        <w:fldChar w:fldCharType="end"/>
      </w:r>
    </w:p>
    <w:p w14:paraId="7A8A5042">
      <w:pPr>
        <w:pStyle w:val="18"/>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_Toc26581 </w:instrText>
      </w:r>
      <w:r>
        <w:rPr>
          <w:rFonts w:hint="eastAsia" w:ascii="宋体" w:hAnsi="宋体" w:eastAsia="宋体" w:cs="宋体"/>
        </w:rPr>
        <w:fldChar w:fldCharType="separate"/>
      </w:r>
      <w:r>
        <w:rPr>
          <w:rFonts w:hint="eastAsia" w:ascii="宋体" w:hAnsi="宋体" w:eastAsia="宋体" w:cs="宋体"/>
          <w:szCs w:val="52"/>
        </w:rPr>
        <w:t>响应文件技术部分</w:t>
      </w:r>
      <w:r>
        <w:tab/>
      </w:r>
      <w:r>
        <w:fldChar w:fldCharType="begin"/>
      </w:r>
      <w:r>
        <w:instrText xml:space="preserve"> PAGEREF _Toc26581 \h </w:instrText>
      </w:r>
      <w:r>
        <w:fldChar w:fldCharType="separate"/>
      </w:r>
      <w:r>
        <w:t>64</w:t>
      </w:r>
      <w:r>
        <w:fldChar w:fldCharType="end"/>
      </w:r>
      <w:r>
        <w:rPr>
          <w:rFonts w:hint="eastAsia" w:ascii="宋体" w:hAnsi="宋体" w:eastAsia="宋体" w:cs="宋体"/>
        </w:rPr>
        <w:fldChar w:fldCharType="end"/>
      </w:r>
    </w:p>
    <w:p w14:paraId="6C8BB9FD">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_Toc11880 </w:instrText>
      </w:r>
      <w:r>
        <w:rPr>
          <w:rFonts w:hint="eastAsia" w:ascii="宋体" w:hAnsi="宋体" w:eastAsia="宋体" w:cs="宋体"/>
        </w:rPr>
        <w:fldChar w:fldCharType="separate"/>
      </w:r>
      <w:r>
        <w:rPr>
          <w:rFonts w:hint="eastAsia" w:ascii="宋体" w:hAnsi="宋体" w:eastAsia="宋体" w:cs="宋体"/>
          <w:kern w:val="0"/>
          <w:lang w:val="en-US" w:eastAsia="zh-CN"/>
        </w:rPr>
        <w:t>一</w:t>
      </w:r>
      <w:r>
        <w:rPr>
          <w:rFonts w:hint="eastAsia" w:ascii="宋体" w:hAnsi="宋体" w:eastAsia="宋体" w:cs="宋体"/>
          <w:kern w:val="0"/>
        </w:rPr>
        <w:t>、</w:t>
      </w:r>
      <w:r>
        <w:rPr>
          <w:rFonts w:hint="eastAsia" w:ascii="宋体" w:hAnsi="宋体" w:eastAsia="宋体" w:cs="宋体"/>
          <w:kern w:val="0"/>
          <w:szCs w:val="21"/>
        </w:rPr>
        <w:t>响应偏离表</w:t>
      </w:r>
      <w:r>
        <w:tab/>
      </w:r>
      <w:r>
        <w:fldChar w:fldCharType="begin"/>
      </w:r>
      <w:r>
        <w:instrText xml:space="preserve"> PAGEREF _Toc11880 \h </w:instrText>
      </w:r>
      <w:r>
        <w:fldChar w:fldCharType="separate"/>
      </w:r>
      <w:r>
        <w:t>65</w:t>
      </w:r>
      <w:r>
        <w:fldChar w:fldCharType="end"/>
      </w:r>
      <w:r>
        <w:rPr>
          <w:rFonts w:hint="eastAsia" w:ascii="宋体" w:hAnsi="宋体" w:eastAsia="宋体" w:cs="宋体"/>
        </w:rPr>
        <w:fldChar w:fldCharType="end"/>
      </w:r>
    </w:p>
    <w:p w14:paraId="3019271D">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_Toc3098 </w:instrText>
      </w:r>
      <w:r>
        <w:rPr>
          <w:rFonts w:hint="eastAsia" w:ascii="宋体" w:hAnsi="宋体" w:eastAsia="宋体" w:cs="宋体"/>
        </w:rPr>
        <w:fldChar w:fldCharType="separate"/>
      </w:r>
      <w:r>
        <w:rPr>
          <w:rFonts w:hint="eastAsia"/>
          <w:lang w:val="en-US" w:eastAsia="zh-CN"/>
        </w:rPr>
        <w:t>二</w:t>
      </w:r>
      <w:r>
        <w:rPr>
          <w:rFonts w:hint="eastAsia"/>
        </w:rPr>
        <w:t>、专家评分导读表</w:t>
      </w:r>
      <w:r>
        <w:tab/>
      </w:r>
      <w:r>
        <w:fldChar w:fldCharType="begin"/>
      </w:r>
      <w:r>
        <w:instrText xml:space="preserve"> PAGEREF _Toc3098 \h </w:instrText>
      </w:r>
      <w:r>
        <w:fldChar w:fldCharType="separate"/>
      </w:r>
      <w:r>
        <w:t>66</w:t>
      </w:r>
      <w:r>
        <w:fldChar w:fldCharType="end"/>
      </w:r>
      <w:r>
        <w:rPr>
          <w:rFonts w:hint="eastAsia" w:ascii="宋体" w:hAnsi="宋体" w:eastAsia="宋体" w:cs="宋体"/>
        </w:rPr>
        <w:fldChar w:fldCharType="end"/>
      </w:r>
    </w:p>
    <w:p w14:paraId="550E4743">
      <w:pPr>
        <w:pStyle w:val="11"/>
        <w:tabs>
          <w:tab w:val="right" w:leader="hyphen" w:pos="8306"/>
        </w:tabs>
      </w:pPr>
      <w:r>
        <w:rPr>
          <w:rFonts w:hint="eastAsia" w:ascii="宋体" w:hAnsi="宋体" w:eastAsia="宋体" w:cs="宋体"/>
        </w:rPr>
        <w:fldChar w:fldCharType="begin"/>
      </w:r>
      <w:r>
        <w:rPr>
          <w:rFonts w:hint="eastAsia" w:ascii="宋体" w:hAnsi="宋体" w:eastAsia="宋体" w:cs="宋体"/>
        </w:rPr>
        <w:instrText xml:space="preserve"> HYPERLINK \l _Toc8435 </w:instrText>
      </w:r>
      <w:r>
        <w:rPr>
          <w:rFonts w:hint="eastAsia" w:ascii="宋体" w:hAnsi="宋体" w:eastAsia="宋体" w:cs="宋体"/>
        </w:rPr>
        <w:fldChar w:fldCharType="separate"/>
      </w:r>
      <w:r>
        <w:rPr>
          <w:rFonts w:hint="eastAsia"/>
          <w:lang w:val="en-US" w:eastAsia="zh-CN"/>
        </w:rPr>
        <w:t>三</w:t>
      </w:r>
      <w:r>
        <w:rPr>
          <w:rFonts w:hint="eastAsia"/>
        </w:rPr>
        <w:t>、其他材料</w:t>
      </w:r>
      <w:r>
        <w:tab/>
      </w:r>
      <w:r>
        <w:fldChar w:fldCharType="begin"/>
      </w:r>
      <w:r>
        <w:instrText xml:space="preserve"> PAGEREF _Toc8435 \h </w:instrText>
      </w:r>
      <w:r>
        <w:fldChar w:fldCharType="separate"/>
      </w:r>
      <w:r>
        <w:t>67</w:t>
      </w:r>
      <w:r>
        <w:fldChar w:fldCharType="end"/>
      </w:r>
      <w:r>
        <w:rPr>
          <w:rFonts w:hint="eastAsia" w:ascii="宋体" w:hAnsi="宋体" w:eastAsia="宋体" w:cs="宋体"/>
        </w:rPr>
        <w:fldChar w:fldCharType="end"/>
      </w:r>
    </w:p>
    <w:p w14:paraId="5BF8FB13">
      <w:pPr>
        <w:pStyle w:val="2"/>
        <w:bidi w:val="0"/>
        <w:rPr>
          <w:rFonts w:hint="eastAsia" w:ascii="宋体" w:hAnsi="宋体" w:eastAsia="宋体" w:cs="宋体"/>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rPr>
        <w:fldChar w:fldCharType="end"/>
      </w:r>
    </w:p>
    <w:p w14:paraId="3ADD21F7">
      <w:pPr>
        <w:pStyle w:val="2"/>
        <w:bidi w:val="0"/>
        <w:rPr>
          <w:rFonts w:hint="eastAsia"/>
        </w:rPr>
      </w:pPr>
      <w:bookmarkStart w:id="1" w:name="_Toc24294"/>
      <w:r>
        <w:rPr>
          <w:rFonts w:hint="eastAsia"/>
        </w:rPr>
        <w:t xml:space="preserve">第一章 </w:t>
      </w:r>
      <w:bookmarkStart w:id="2" w:name="_Hlk129589545"/>
      <w:r>
        <w:rPr>
          <w:rFonts w:hint="eastAsia"/>
        </w:rPr>
        <w:t>竞争性磋商公告</w:t>
      </w:r>
      <w:bookmarkEnd w:id="1"/>
    </w:p>
    <w:bookmarkEnd w:id="2"/>
    <w:p w14:paraId="29DC7BB9">
      <w:pPr>
        <w:bidi w:val="0"/>
        <w:jc w:val="center"/>
        <w:rPr>
          <w:rFonts w:hint="eastAsia"/>
          <w:b/>
          <w:bCs/>
        </w:rPr>
      </w:pPr>
      <w:r>
        <w:rPr>
          <w:rFonts w:hint="eastAsia"/>
          <w:b/>
          <w:bCs/>
        </w:rPr>
        <w:t>河南省人民医院</w:t>
      </w:r>
      <w:bookmarkStart w:id="3" w:name="_Hlk130205587"/>
      <w:r>
        <w:rPr>
          <w:rFonts w:hint="eastAsia"/>
          <w:b/>
          <w:bCs/>
          <w:lang w:eastAsia="zh-CN"/>
        </w:rPr>
        <w:t>豫东北</w:t>
      </w:r>
      <w:r>
        <w:rPr>
          <w:rFonts w:hint="eastAsia"/>
          <w:b/>
          <w:bCs/>
          <w:lang w:val="en-US" w:eastAsia="zh-CN"/>
        </w:rPr>
        <w:t>医院（台前县新区人民医院）消毒供应追溯系统配套硬件采购</w:t>
      </w:r>
      <w:r>
        <w:rPr>
          <w:rFonts w:hint="eastAsia"/>
          <w:b/>
          <w:bCs/>
        </w:rPr>
        <w:t>项目</w:t>
      </w:r>
      <w:bookmarkEnd w:id="3"/>
      <w:r>
        <w:rPr>
          <w:rFonts w:hint="eastAsia"/>
          <w:b/>
          <w:bCs/>
        </w:rPr>
        <w:t>竞争性磋商公告</w:t>
      </w:r>
    </w:p>
    <w:p w14:paraId="62AB31F5">
      <w:pPr>
        <w:pStyle w:val="3"/>
        <w:bidi w:val="0"/>
        <w:rPr>
          <w:rFonts w:hint="eastAsia"/>
        </w:rPr>
      </w:pPr>
      <w:bookmarkStart w:id="4" w:name="_Toc495425032"/>
      <w:bookmarkStart w:id="5" w:name="_Toc493515455"/>
      <w:bookmarkStart w:id="6" w:name="_Toc17561"/>
      <w:bookmarkStart w:id="7" w:name="_Toc2773"/>
      <w:bookmarkStart w:id="8" w:name="_Toc495424826"/>
      <w:bookmarkStart w:id="9" w:name="_Toc417919969"/>
      <w:bookmarkStart w:id="10" w:name="_Toc461106932"/>
      <w:bookmarkStart w:id="11" w:name="_Toc495424093"/>
      <w:r>
        <w:rPr>
          <w:rFonts w:hint="eastAsia"/>
        </w:rPr>
        <w:t>1. 磋商条件</w:t>
      </w:r>
      <w:bookmarkEnd w:id="4"/>
      <w:bookmarkEnd w:id="5"/>
      <w:bookmarkEnd w:id="6"/>
      <w:bookmarkEnd w:id="7"/>
      <w:bookmarkEnd w:id="8"/>
      <w:bookmarkEnd w:id="9"/>
      <w:bookmarkEnd w:id="10"/>
      <w:bookmarkEnd w:id="11"/>
    </w:p>
    <w:p w14:paraId="0F5050FF">
      <w:pPr>
        <w:bidi w:val="0"/>
        <w:rPr>
          <w:rFonts w:hint="eastAsia"/>
          <w:sz w:val="24"/>
          <w:szCs w:val="22"/>
        </w:rPr>
      </w:pPr>
      <w:r>
        <w:rPr>
          <w:rFonts w:hint="eastAsia"/>
          <w:sz w:val="24"/>
          <w:szCs w:val="22"/>
        </w:rPr>
        <w:t>河南省人民医院</w:t>
      </w:r>
      <w:r>
        <w:rPr>
          <w:rFonts w:hint="eastAsia"/>
          <w:sz w:val="24"/>
          <w:szCs w:val="22"/>
          <w:lang w:eastAsia="zh-CN"/>
        </w:rPr>
        <w:t>豫东北</w:t>
      </w:r>
      <w:r>
        <w:rPr>
          <w:rFonts w:hint="eastAsia"/>
          <w:sz w:val="24"/>
          <w:szCs w:val="22"/>
        </w:rPr>
        <w:t>医院</w:t>
      </w:r>
      <w:r>
        <w:rPr>
          <w:rFonts w:hint="eastAsia"/>
          <w:sz w:val="24"/>
          <w:szCs w:val="22"/>
          <w:lang w:val="en-US" w:eastAsia="zh-CN"/>
        </w:rPr>
        <w:t>（台前县新区人民医院）</w:t>
      </w:r>
      <w:r>
        <w:rPr>
          <w:rFonts w:hint="eastAsia"/>
          <w:sz w:val="24"/>
          <w:szCs w:val="22"/>
        </w:rPr>
        <w:t>就消毒供应追溯系统配套硬件采购项目进行竞争性磋商采购，欢迎各单位按采购文件规定的内容，参加</w:t>
      </w:r>
      <w:r>
        <w:rPr>
          <w:rFonts w:hint="eastAsia"/>
          <w:sz w:val="24"/>
          <w:szCs w:val="22"/>
          <w:lang w:eastAsia="zh-CN"/>
        </w:rPr>
        <w:t>河南省人民医院豫东北医院</w:t>
      </w:r>
      <w:r>
        <w:rPr>
          <w:rFonts w:hint="eastAsia"/>
          <w:sz w:val="24"/>
          <w:szCs w:val="22"/>
          <w:lang w:val="en-US" w:eastAsia="zh-CN"/>
        </w:rPr>
        <w:t>（台前县新区人民医院）</w:t>
      </w:r>
      <w:r>
        <w:rPr>
          <w:rFonts w:hint="eastAsia"/>
          <w:sz w:val="24"/>
          <w:szCs w:val="22"/>
          <w:lang w:eastAsia="zh-CN"/>
        </w:rPr>
        <w:t>消毒供应追溯系统配套硬件采购项目</w:t>
      </w:r>
      <w:r>
        <w:rPr>
          <w:rFonts w:hint="eastAsia"/>
          <w:sz w:val="24"/>
          <w:szCs w:val="22"/>
        </w:rPr>
        <w:t>投标。</w:t>
      </w:r>
    </w:p>
    <w:p w14:paraId="033BC4EF">
      <w:pPr>
        <w:pStyle w:val="3"/>
        <w:spacing w:before="0" w:after="0"/>
        <w:ind w:left="0" w:right="240"/>
        <w:rPr>
          <w:rFonts w:hint="eastAsia" w:ascii="宋体" w:hAnsi="宋体" w:eastAsia="宋体" w:cs="宋体"/>
        </w:rPr>
      </w:pPr>
      <w:bookmarkStart w:id="12" w:name="_Toc30178"/>
      <w:bookmarkStart w:id="13" w:name="_Toc495424094"/>
      <w:bookmarkStart w:id="14" w:name="_Toc493515456"/>
      <w:bookmarkStart w:id="15" w:name="_Toc461106933"/>
      <w:bookmarkStart w:id="16" w:name="_Toc495425033"/>
      <w:bookmarkStart w:id="17" w:name="_Toc495424827"/>
      <w:bookmarkStart w:id="18" w:name="_Toc417919970"/>
      <w:bookmarkStart w:id="19" w:name="_Toc10502"/>
      <w:r>
        <w:rPr>
          <w:rFonts w:hint="eastAsia" w:ascii="宋体" w:hAnsi="宋体" w:eastAsia="宋体" w:cs="宋体"/>
        </w:rPr>
        <w:t>2. 项目概况</w:t>
      </w:r>
      <w:bookmarkEnd w:id="12"/>
      <w:bookmarkEnd w:id="13"/>
      <w:bookmarkEnd w:id="14"/>
      <w:bookmarkEnd w:id="15"/>
      <w:bookmarkEnd w:id="16"/>
      <w:bookmarkEnd w:id="17"/>
      <w:bookmarkEnd w:id="18"/>
      <w:bookmarkEnd w:id="19"/>
    </w:p>
    <w:p w14:paraId="478A20A3">
      <w:pPr>
        <w:bidi w:val="0"/>
        <w:rPr>
          <w:rFonts w:hint="eastAsia"/>
          <w:sz w:val="24"/>
          <w:szCs w:val="22"/>
        </w:rPr>
      </w:pPr>
      <w:r>
        <w:rPr>
          <w:rFonts w:hint="eastAsia"/>
          <w:sz w:val="24"/>
          <w:szCs w:val="22"/>
        </w:rPr>
        <w:t>2.1项目名称：</w:t>
      </w:r>
      <w:r>
        <w:rPr>
          <w:rFonts w:hint="eastAsia"/>
          <w:sz w:val="24"/>
          <w:szCs w:val="22"/>
          <w:lang w:eastAsia="zh-CN"/>
        </w:rPr>
        <w:t>河南省人民医院豫东北医院</w:t>
      </w:r>
      <w:r>
        <w:rPr>
          <w:rFonts w:hint="eastAsia"/>
          <w:sz w:val="24"/>
          <w:szCs w:val="22"/>
          <w:lang w:val="en-US" w:eastAsia="zh-CN"/>
        </w:rPr>
        <w:t>（台前县新区人民医院）</w:t>
      </w:r>
      <w:r>
        <w:rPr>
          <w:rFonts w:hint="eastAsia"/>
          <w:sz w:val="24"/>
          <w:szCs w:val="22"/>
          <w:lang w:eastAsia="zh-CN"/>
        </w:rPr>
        <w:t>消毒供应追溯系统配套硬件采购项目</w:t>
      </w:r>
      <w:r>
        <w:rPr>
          <w:rFonts w:hint="eastAsia"/>
          <w:sz w:val="24"/>
          <w:szCs w:val="22"/>
        </w:rPr>
        <w:t>。</w:t>
      </w:r>
    </w:p>
    <w:p w14:paraId="21BE1D80">
      <w:pPr>
        <w:bidi w:val="0"/>
        <w:rPr>
          <w:rFonts w:hint="eastAsia"/>
          <w:sz w:val="24"/>
          <w:szCs w:val="22"/>
        </w:rPr>
      </w:pPr>
      <w:r>
        <w:rPr>
          <w:rFonts w:hint="eastAsia"/>
          <w:sz w:val="24"/>
          <w:szCs w:val="22"/>
        </w:rPr>
        <w:t>2.2资金来源：自筹资金。</w:t>
      </w:r>
    </w:p>
    <w:p w14:paraId="16BC5BFC">
      <w:pPr>
        <w:bidi w:val="0"/>
        <w:rPr>
          <w:rFonts w:hint="eastAsia"/>
          <w:sz w:val="24"/>
          <w:szCs w:val="22"/>
        </w:rPr>
      </w:pPr>
      <w:r>
        <w:rPr>
          <w:rFonts w:hint="eastAsia"/>
          <w:sz w:val="24"/>
          <w:szCs w:val="22"/>
        </w:rPr>
        <w:t>2.3标包划分：一个标包。</w:t>
      </w:r>
    </w:p>
    <w:p w14:paraId="6C38A64A">
      <w:pPr>
        <w:bidi w:val="0"/>
        <w:rPr>
          <w:rFonts w:hint="eastAsia"/>
          <w:sz w:val="24"/>
          <w:szCs w:val="22"/>
        </w:rPr>
      </w:pPr>
      <w:r>
        <w:rPr>
          <w:rFonts w:hint="eastAsia"/>
          <w:sz w:val="24"/>
          <w:szCs w:val="22"/>
        </w:rPr>
        <w:t>2.4采购范围：拟招标品类包括</w:t>
      </w:r>
      <w:r>
        <w:rPr>
          <w:rFonts w:hint="eastAsia"/>
          <w:sz w:val="24"/>
          <w:szCs w:val="22"/>
          <w:lang w:eastAsia="zh-CN"/>
        </w:rPr>
        <w:t>电脑一体机、条码打印机、针式打印机、扫描枪、彩色打印机、串口服务器、交换机、高温条码纸</w:t>
      </w:r>
      <w:r>
        <w:rPr>
          <w:rFonts w:hint="eastAsia"/>
          <w:sz w:val="24"/>
          <w:szCs w:val="22"/>
        </w:rPr>
        <w:t>等；详见磋商文件第五章采购人需求及技术要求。</w:t>
      </w:r>
    </w:p>
    <w:p w14:paraId="4883D601">
      <w:pPr>
        <w:bidi w:val="0"/>
        <w:rPr>
          <w:rFonts w:hint="eastAsia"/>
          <w:sz w:val="24"/>
          <w:szCs w:val="22"/>
        </w:rPr>
      </w:pPr>
      <w:r>
        <w:rPr>
          <w:rFonts w:hint="eastAsia"/>
          <w:sz w:val="24"/>
          <w:szCs w:val="22"/>
        </w:rPr>
        <w:t xml:space="preserve">2.5本项目是否接受联合体：否。 </w:t>
      </w:r>
    </w:p>
    <w:p w14:paraId="31AA7210">
      <w:pPr>
        <w:bidi w:val="0"/>
        <w:rPr>
          <w:rFonts w:hint="eastAsia"/>
          <w:sz w:val="24"/>
          <w:szCs w:val="22"/>
        </w:rPr>
      </w:pPr>
      <w:r>
        <w:rPr>
          <w:rFonts w:hint="eastAsia"/>
          <w:sz w:val="24"/>
          <w:szCs w:val="22"/>
        </w:rPr>
        <w:t>2.6成交人数量： 1名。</w:t>
      </w:r>
    </w:p>
    <w:p w14:paraId="24051C4B">
      <w:pPr>
        <w:pStyle w:val="3"/>
        <w:bidi w:val="0"/>
        <w:rPr>
          <w:rFonts w:hint="eastAsia"/>
        </w:rPr>
      </w:pPr>
      <w:bookmarkStart w:id="20" w:name="_Toc495425034"/>
      <w:bookmarkStart w:id="21" w:name="_Toc417919971"/>
      <w:bookmarkStart w:id="22" w:name="_Toc493515457"/>
      <w:bookmarkStart w:id="23" w:name="_Toc17844"/>
      <w:bookmarkStart w:id="24" w:name="_Toc23197"/>
      <w:bookmarkStart w:id="25" w:name="_Toc495424828"/>
      <w:bookmarkStart w:id="26" w:name="_Toc495424095"/>
      <w:bookmarkStart w:id="27" w:name="_Toc461106934"/>
      <w:r>
        <w:rPr>
          <w:rFonts w:hint="eastAsia"/>
        </w:rPr>
        <w:t>3. 响应人资格要求</w:t>
      </w:r>
      <w:bookmarkEnd w:id="20"/>
      <w:bookmarkEnd w:id="21"/>
      <w:bookmarkEnd w:id="22"/>
      <w:bookmarkEnd w:id="23"/>
      <w:bookmarkEnd w:id="24"/>
      <w:bookmarkEnd w:id="25"/>
      <w:bookmarkEnd w:id="26"/>
      <w:bookmarkEnd w:id="27"/>
    </w:p>
    <w:p w14:paraId="5EA2CE8D">
      <w:pPr>
        <w:bidi w:val="0"/>
        <w:rPr>
          <w:rFonts w:hint="eastAsia"/>
          <w:sz w:val="24"/>
          <w:szCs w:val="22"/>
        </w:rPr>
      </w:pPr>
      <w:bookmarkStart w:id="28" w:name="_Hlk139877273"/>
      <w:r>
        <w:rPr>
          <w:rFonts w:hint="eastAsia"/>
          <w:sz w:val="24"/>
          <w:szCs w:val="22"/>
        </w:rPr>
        <w:t>3.1具有独立承担民事责任的能力；供应商是企业（包括合伙企业），应提供有效“企业法人营业执照”或“营业执照”复印件或扫描件；供应商是事业单位，应提供有效的“事业单位法人证书”复印件或扫描件；</w:t>
      </w:r>
    </w:p>
    <w:p w14:paraId="30258814">
      <w:pPr>
        <w:bidi w:val="0"/>
        <w:rPr>
          <w:rFonts w:hint="eastAsia"/>
          <w:sz w:val="24"/>
          <w:szCs w:val="22"/>
        </w:rPr>
      </w:pPr>
      <w:r>
        <w:rPr>
          <w:rFonts w:hint="eastAsia"/>
          <w:sz w:val="24"/>
          <w:szCs w:val="22"/>
        </w:rPr>
        <w:t>3.2具有良好的商业信誉和健全的财务会计制度（提供</w:t>
      </w:r>
      <w:r>
        <w:rPr>
          <w:rFonts w:hint="eastAsia"/>
          <w:sz w:val="24"/>
          <w:szCs w:val="22"/>
          <w:lang w:val="en-US" w:eastAsia="zh-CN"/>
        </w:rPr>
        <w:t>2023</w:t>
      </w:r>
      <w:r>
        <w:rPr>
          <w:rFonts w:hint="eastAsia"/>
          <w:sz w:val="24"/>
          <w:szCs w:val="22"/>
        </w:rPr>
        <w:t>年财务审计报告或银行出具的资信证明，如有供应商成立时限不足要求时限的，由供应商提供其</w:t>
      </w:r>
      <w:bookmarkStart w:id="29" w:name="_Hlk130205360"/>
      <w:r>
        <w:rPr>
          <w:rFonts w:hint="eastAsia"/>
          <w:sz w:val="24"/>
          <w:szCs w:val="22"/>
        </w:rPr>
        <w:t>基本开户银行出具的资信证明</w:t>
      </w:r>
      <w:bookmarkEnd w:id="29"/>
      <w:r>
        <w:rPr>
          <w:rFonts w:hint="eastAsia"/>
          <w:sz w:val="24"/>
          <w:szCs w:val="22"/>
        </w:rPr>
        <w:t>）。</w:t>
      </w:r>
    </w:p>
    <w:p w14:paraId="79775BCB">
      <w:pPr>
        <w:bidi w:val="0"/>
        <w:rPr>
          <w:rFonts w:hint="eastAsia"/>
          <w:sz w:val="24"/>
          <w:szCs w:val="22"/>
        </w:rPr>
      </w:pPr>
      <w:r>
        <w:rPr>
          <w:rFonts w:hint="eastAsia"/>
          <w:sz w:val="24"/>
          <w:szCs w:val="22"/>
        </w:rPr>
        <w:t>3.3具有履行合同所必需的设备和专业技术能力（自行承诺或提供相关证明材料）。</w:t>
      </w:r>
    </w:p>
    <w:p w14:paraId="64F98EE5">
      <w:pPr>
        <w:bidi w:val="0"/>
        <w:rPr>
          <w:rFonts w:hint="eastAsia"/>
          <w:sz w:val="24"/>
          <w:szCs w:val="22"/>
        </w:rPr>
      </w:pPr>
      <w:r>
        <w:rPr>
          <w:rFonts w:hint="eastAsia"/>
          <w:sz w:val="24"/>
          <w:szCs w:val="22"/>
        </w:rPr>
        <w:t>3.4具有依法缴纳税收和社会保障资金的良好记录（提供202</w:t>
      </w:r>
      <w:r>
        <w:rPr>
          <w:rFonts w:hint="eastAsia"/>
          <w:sz w:val="24"/>
          <w:szCs w:val="22"/>
          <w:lang w:val="en-US" w:eastAsia="zh-CN"/>
        </w:rPr>
        <w:t>4</w:t>
      </w:r>
      <w:r>
        <w:rPr>
          <w:rFonts w:hint="eastAsia"/>
          <w:sz w:val="24"/>
          <w:szCs w:val="22"/>
        </w:rPr>
        <w:t>年1月份以来任意一个月份依法纳税和缴纳社会保障资金的证明材料，如有供应商成立时限不足要求时限的，由供应商根据自身成立时间提供证明材料。依法免税或不需要缴纳社会保障资金的供应商，应提供相应文件证明其依法免税或不需要缴纳社会保障资金）。</w:t>
      </w:r>
    </w:p>
    <w:p w14:paraId="0ACDEE29">
      <w:pPr>
        <w:bidi w:val="0"/>
        <w:rPr>
          <w:rFonts w:hint="eastAsia"/>
          <w:sz w:val="24"/>
          <w:szCs w:val="22"/>
        </w:rPr>
      </w:pPr>
      <w:r>
        <w:rPr>
          <w:rFonts w:hint="eastAsia"/>
          <w:sz w:val="24"/>
          <w:szCs w:val="22"/>
        </w:rPr>
        <w:t>3.5参加政府采购活动前三年内，在经营活动中没有重大违法记录的书面声明（自行承诺）。</w:t>
      </w:r>
    </w:p>
    <w:p w14:paraId="01247B36">
      <w:pPr>
        <w:bidi w:val="0"/>
        <w:rPr>
          <w:rFonts w:hint="eastAsia"/>
          <w:sz w:val="24"/>
          <w:szCs w:val="22"/>
        </w:rPr>
      </w:pPr>
      <w:r>
        <w:rPr>
          <w:rFonts w:hint="eastAsia"/>
          <w:sz w:val="24"/>
          <w:szCs w:val="22"/>
        </w:rPr>
        <w:t>3.6根据《关于在政府采购活动中查询及使用信用记录有关问题的通知》(财库[2016]125号)的规定，对列入失信被执行人、重大税收违法失信主体、政府采购严重违法失信行为记录名单的投标供应商，拒绝参与本项目政府采购活动；</w:t>
      </w:r>
    </w:p>
    <w:p w14:paraId="3402D702">
      <w:pPr>
        <w:bidi w:val="0"/>
        <w:rPr>
          <w:rFonts w:hint="eastAsia"/>
          <w:sz w:val="24"/>
          <w:szCs w:val="22"/>
        </w:rPr>
      </w:pPr>
      <w:r>
        <w:rPr>
          <w:rFonts w:hint="eastAsia"/>
          <w:sz w:val="24"/>
          <w:szCs w:val="22"/>
        </w:rPr>
        <w:t>查询渠道：</w:t>
      </w:r>
    </w:p>
    <w:p w14:paraId="5BE797A4">
      <w:pPr>
        <w:bidi w:val="0"/>
        <w:rPr>
          <w:rFonts w:hint="eastAsia"/>
          <w:sz w:val="24"/>
          <w:szCs w:val="22"/>
        </w:rPr>
      </w:pPr>
      <w:r>
        <w:rPr>
          <w:rFonts w:hint="eastAsia"/>
          <w:sz w:val="24"/>
          <w:szCs w:val="22"/>
        </w:rPr>
        <w:t>失信被执行人查询渠道：“中国执行信息公开网”网站；</w:t>
      </w:r>
    </w:p>
    <w:p w14:paraId="662CADB1">
      <w:pPr>
        <w:bidi w:val="0"/>
        <w:rPr>
          <w:rFonts w:hint="eastAsia"/>
          <w:sz w:val="24"/>
          <w:szCs w:val="22"/>
        </w:rPr>
      </w:pPr>
      <w:r>
        <w:rPr>
          <w:rFonts w:hint="eastAsia"/>
          <w:sz w:val="24"/>
          <w:szCs w:val="22"/>
        </w:rPr>
        <w:t>重大税收违法失信主体查询渠道：“信用中国”网站；</w:t>
      </w:r>
    </w:p>
    <w:p w14:paraId="4D4001F7">
      <w:pPr>
        <w:bidi w:val="0"/>
        <w:rPr>
          <w:rFonts w:hint="eastAsia"/>
          <w:sz w:val="24"/>
          <w:szCs w:val="22"/>
        </w:rPr>
      </w:pPr>
      <w:r>
        <w:rPr>
          <w:rFonts w:hint="eastAsia"/>
          <w:sz w:val="24"/>
          <w:szCs w:val="22"/>
        </w:rPr>
        <w:t>政府采购严重违法失信行为查询渠道：“中国政府采购网”。</w:t>
      </w:r>
    </w:p>
    <w:p w14:paraId="39E54B09">
      <w:pPr>
        <w:bidi w:val="0"/>
        <w:rPr>
          <w:rFonts w:hint="eastAsia"/>
          <w:sz w:val="24"/>
          <w:szCs w:val="22"/>
        </w:rPr>
      </w:pPr>
      <w:r>
        <w:rPr>
          <w:rFonts w:hint="eastAsia"/>
          <w:sz w:val="24"/>
          <w:szCs w:val="22"/>
        </w:rPr>
        <w:t>3.7单位负责人为同一人或者存在控股关系、管理关系的不同单位，不得参加同一标段投标或未划分标段的同一招标项目投标【提供“全国企业信用信息公示系统”中查询打印的相关材料并加盖公章（需包含公司基本信息、股东信息及股权变更信息)】，事业单位可以不提供此项要求；</w:t>
      </w:r>
    </w:p>
    <w:p w14:paraId="65312915">
      <w:pPr>
        <w:bidi w:val="0"/>
        <w:rPr>
          <w:rFonts w:hint="eastAsia"/>
          <w:sz w:val="24"/>
          <w:szCs w:val="22"/>
        </w:rPr>
      </w:pPr>
      <w:r>
        <w:rPr>
          <w:rFonts w:hint="eastAsia"/>
          <w:sz w:val="24"/>
          <w:szCs w:val="22"/>
        </w:rPr>
        <w:t>3.8响应人承诺中标后必须在</w:t>
      </w:r>
      <w:r>
        <w:rPr>
          <w:rFonts w:hint="eastAsia"/>
          <w:sz w:val="24"/>
          <w:szCs w:val="22"/>
          <w:lang w:val="en-US" w:eastAsia="zh-CN"/>
        </w:rPr>
        <w:t>台前县</w:t>
      </w:r>
      <w:r>
        <w:rPr>
          <w:rFonts w:hint="eastAsia"/>
          <w:sz w:val="24"/>
          <w:szCs w:val="22"/>
        </w:rPr>
        <w:t>有一支稳定的可以服务于本项目的技术队伍（需详细说明并有证明）。</w:t>
      </w:r>
    </w:p>
    <w:bookmarkEnd w:id="28"/>
    <w:p w14:paraId="5B942D5E">
      <w:pPr>
        <w:pStyle w:val="3"/>
        <w:bidi w:val="0"/>
        <w:rPr>
          <w:rFonts w:hint="eastAsia"/>
        </w:rPr>
      </w:pPr>
      <w:bookmarkStart w:id="30" w:name="_Toc9078"/>
      <w:r>
        <w:rPr>
          <w:rFonts w:hint="eastAsia"/>
        </w:rPr>
        <w:t>4、报名资料提交</w:t>
      </w:r>
      <w:bookmarkStart w:id="31" w:name="_Hlk130219959"/>
      <w:r>
        <w:rPr>
          <w:rFonts w:hint="eastAsia"/>
        </w:rPr>
        <w:t>及竞争性磋商文件获取</w:t>
      </w:r>
      <w:bookmarkEnd w:id="30"/>
    </w:p>
    <w:bookmarkEnd w:id="31"/>
    <w:p w14:paraId="1E96C207">
      <w:pPr>
        <w:bidi w:val="0"/>
        <w:rPr>
          <w:rFonts w:hint="eastAsia"/>
          <w:sz w:val="24"/>
          <w:szCs w:val="22"/>
        </w:rPr>
      </w:pPr>
      <w:r>
        <w:rPr>
          <w:rFonts w:hint="eastAsia"/>
          <w:sz w:val="24"/>
          <w:szCs w:val="22"/>
        </w:rPr>
        <w:t>4.1报名时间：202</w:t>
      </w:r>
      <w:r>
        <w:rPr>
          <w:rFonts w:hint="eastAsia"/>
          <w:sz w:val="24"/>
          <w:szCs w:val="22"/>
          <w:lang w:val="en-US" w:eastAsia="zh-CN"/>
        </w:rPr>
        <w:t>5</w:t>
      </w:r>
      <w:r>
        <w:rPr>
          <w:rFonts w:hint="eastAsia"/>
          <w:sz w:val="24"/>
          <w:szCs w:val="22"/>
        </w:rPr>
        <w:t>年</w:t>
      </w:r>
      <w:r>
        <w:rPr>
          <w:rFonts w:hint="eastAsia"/>
          <w:sz w:val="24"/>
          <w:szCs w:val="22"/>
          <w:lang w:val="en-US" w:eastAsia="zh-CN"/>
        </w:rPr>
        <w:t>4</w:t>
      </w:r>
      <w:r>
        <w:rPr>
          <w:rFonts w:hint="eastAsia"/>
          <w:sz w:val="24"/>
          <w:szCs w:val="22"/>
        </w:rPr>
        <w:t>月</w:t>
      </w:r>
      <w:r>
        <w:rPr>
          <w:rFonts w:hint="eastAsia"/>
          <w:sz w:val="24"/>
          <w:szCs w:val="22"/>
          <w:lang w:val="en-US" w:eastAsia="zh-CN"/>
        </w:rPr>
        <w:t>3</w:t>
      </w:r>
      <w:r>
        <w:rPr>
          <w:rFonts w:hint="eastAsia"/>
          <w:sz w:val="24"/>
          <w:szCs w:val="22"/>
        </w:rPr>
        <w:t>日至202</w:t>
      </w:r>
      <w:r>
        <w:rPr>
          <w:rFonts w:hint="eastAsia"/>
          <w:sz w:val="24"/>
          <w:szCs w:val="22"/>
          <w:lang w:val="en-US" w:eastAsia="zh-CN"/>
        </w:rPr>
        <w:t>5</w:t>
      </w:r>
      <w:r>
        <w:rPr>
          <w:rFonts w:hint="eastAsia"/>
          <w:sz w:val="24"/>
          <w:szCs w:val="22"/>
        </w:rPr>
        <w:t>年</w:t>
      </w:r>
      <w:r>
        <w:rPr>
          <w:rFonts w:hint="eastAsia"/>
          <w:sz w:val="24"/>
          <w:szCs w:val="22"/>
          <w:lang w:val="en-US" w:eastAsia="zh-CN"/>
        </w:rPr>
        <w:t>4</w:t>
      </w:r>
      <w:r>
        <w:rPr>
          <w:rFonts w:hint="eastAsia"/>
          <w:sz w:val="24"/>
          <w:szCs w:val="22"/>
        </w:rPr>
        <w:t>月</w:t>
      </w:r>
      <w:r>
        <w:rPr>
          <w:rFonts w:hint="eastAsia"/>
          <w:sz w:val="24"/>
          <w:szCs w:val="22"/>
          <w:lang w:val="en-US" w:eastAsia="zh-CN"/>
        </w:rPr>
        <w:t>10</w:t>
      </w:r>
      <w:r>
        <w:rPr>
          <w:rFonts w:hint="eastAsia"/>
          <w:sz w:val="24"/>
          <w:szCs w:val="22"/>
        </w:rPr>
        <w:t>日，每天上午8:00至12:00，下午1</w:t>
      </w:r>
      <w:r>
        <w:rPr>
          <w:rFonts w:hint="eastAsia"/>
          <w:sz w:val="24"/>
          <w:szCs w:val="22"/>
          <w:lang w:val="en-US" w:eastAsia="zh-CN"/>
        </w:rPr>
        <w:t>4</w:t>
      </w:r>
      <w:r>
        <w:rPr>
          <w:rFonts w:hint="eastAsia"/>
          <w:sz w:val="24"/>
          <w:szCs w:val="22"/>
        </w:rPr>
        <w:t>:</w:t>
      </w:r>
      <w:r>
        <w:rPr>
          <w:rFonts w:hint="eastAsia"/>
          <w:sz w:val="24"/>
          <w:szCs w:val="22"/>
          <w:lang w:val="en-US" w:eastAsia="zh-CN"/>
        </w:rPr>
        <w:t>3</w:t>
      </w:r>
      <w:r>
        <w:rPr>
          <w:rFonts w:hint="eastAsia"/>
          <w:sz w:val="24"/>
          <w:szCs w:val="22"/>
        </w:rPr>
        <w:t>0至1</w:t>
      </w:r>
      <w:r>
        <w:rPr>
          <w:rFonts w:hint="eastAsia"/>
          <w:sz w:val="24"/>
          <w:szCs w:val="22"/>
          <w:lang w:val="en-US" w:eastAsia="zh-CN"/>
        </w:rPr>
        <w:t>7</w:t>
      </w:r>
      <w:r>
        <w:rPr>
          <w:rFonts w:hint="eastAsia"/>
          <w:sz w:val="24"/>
          <w:szCs w:val="22"/>
        </w:rPr>
        <w:t>:</w:t>
      </w:r>
      <w:r>
        <w:rPr>
          <w:rFonts w:hint="eastAsia"/>
          <w:sz w:val="24"/>
          <w:szCs w:val="22"/>
          <w:lang w:val="en-US" w:eastAsia="zh-CN"/>
        </w:rPr>
        <w:t>3</w:t>
      </w:r>
      <w:r>
        <w:rPr>
          <w:rFonts w:hint="eastAsia"/>
          <w:sz w:val="24"/>
          <w:szCs w:val="22"/>
        </w:rPr>
        <w:t>0（北京时间，法定节假日除外。）</w:t>
      </w:r>
    </w:p>
    <w:p w14:paraId="7694652B">
      <w:pPr>
        <w:bidi w:val="0"/>
        <w:rPr>
          <w:rFonts w:hint="eastAsia"/>
          <w:sz w:val="24"/>
          <w:szCs w:val="22"/>
        </w:rPr>
      </w:pPr>
      <w:r>
        <w:rPr>
          <w:rFonts w:hint="eastAsia"/>
          <w:sz w:val="24"/>
          <w:szCs w:val="22"/>
        </w:rPr>
        <w:t>4.2本公告“3.响应人资格要求”中需提供的资料：①营业执照（副本）、②财务审计报告或基本开户银行出具的资信证明、③承诺书（包含3.3和3.</w:t>
      </w:r>
      <w:r>
        <w:rPr>
          <w:rFonts w:hint="eastAsia"/>
          <w:sz w:val="24"/>
          <w:szCs w:val="22"/>
          <w:lang w:val="en-US" w:eastAsia="zh-CN"/>
        </w:rPr>
        <w:t>8</w:t>
      </w:r>
      <w:r>
        <w:rPr>
          <w:rFonts w:hint="eastAsia"/>
          <w:sz w:val="24"/>
          <w:szCs w:val="22"/>
        </w:rPr>
        <w:t>项要求）、④202</w:t>
      </w:r>
      <w:r>
        <w:rPr>
          <w:rFonts w:hint="eastAsia"/>
          <w:sz w:val="24"/>
          <w:szCs w:val="22"/>
          <w:lang w:val="en-US" w:eastAsia="zh-CN"/>
        </w:rPr>
        <w:t>4</w:t>
      </w:r>
      <w:r>
        <w:rPr>
          <w:rFonts w:hint="eastAsia"/>
          <w:sz w:val="24"/>
          <w:szCs w:val="22"/>
        </w:rPr>
        <w:t>年1月份以来任意一个月份依法纳税和缴纳社会保障资金的证明材料、⑤参加政府采购活动前三年内，在经营活动中没有重大违法记录的书面声明、⑥网站查询结果网页截图（列入失信被执行人、重大税收违法案件当事人名单、政府采购严重违法失信行为记录名单3页截图并加盖单位公章）、⑦提供“全国企业信用信息公示系统”中查询打印的相关材料、⑧</w:t>
      </w:r>
      <w:r>
        <w:rPr>
          <w:rFonts w:hint="eastAsia"/>
          <w:sz w:val="24"/>
          <w:szCs w:val="22"/>
          <w:lang w:eastAsia="zh-CN"/>
        </w:rPr>
        <w:t>法定代表人授权</w:t>
      </w:r>
      <w:r>
        <w:rPr>
          <w:rFonts w:hint="eastAsia"/>
          <w:sz w:val="24"/>
          <w:szCs w:val="22"/>
        </w:rPr>
        <w:t>委托书</w:t>
      </w:r>
      <w:r>
        <w:rPr>
          <w:rFonts w:hint="eastAsia"/>
          <w:sz w:val="24"/>
          <w:szCs w:val="22"/>
          <w:lang w:eastAsia="zh-CN"/>
        </w:rPr>
        <w:t>和</w:t>
      </w:r>
      <w:r>
        <w:rPr>
          <w:rFonts w:hint="eastAsia"/>
          <w:sz w:val="24"/>
          <w:szCs w:val="22"/>
        </w:rPr>
        <w:t>被委托人身份证。</w:t>
      </w:r>
    </w:p>
    <w:p w14:paraId="41008E56">
      <w:pPr>
        <w:bidi w:val="0"/>
        <w:rPr>
          <w:rFonts w:hint="eastAsia"/>
          <w:sz w:val="24"/>
          <w:szCs w:val="22"/>
        </w:rPr>
      </w:pPr>
      <w:r>
        <w:rPr>
          <w:rFonts w:hint="eastAsia"/>
          <w:sz w:val="24"/>
          <w:szCs w:val="22"/>
        </w:rPr>
        <w:t>4.3以上资料加盖公章并扫描至一个文档内发送至邮箱（</w:t>
      </w:r>
      <w:r>
        <w:rPr>
          <w:rFonts w:hint="eastAsia" w:ascii="宋体" w:hAnsi="宋体" w:eastAsia="宋体" w:cs="Times New Roman"/>
          <w:sz w:val="24"/>
          <w:szCs w:val="22"/>
          <w:lang w:val="en-US" w:eastAsia="zh-CN"/>
        </w:rPr>
        <w:t>ydbyyzc@163.com</w:t>
      </w:r>
      <w:r>
        <w:rPr>
          <w:rFonts w:hint="eastAsia"/>
          <w:sz w:val="24"/>
          <w:szCs w:val="22"/>
        </w:rPr>
        <w:t>），邮件主题为“</w:t>
      </w:r>
      <w:r>
        <w:rPr>
          <w:rFonts w:hint="eastAsia"/>
          <w:sz w:val="24"/>
          <w:szCs w:val="22"/>
          <w:lang w:eastAsia="zh-CN"/>
        </w:rPr>
        <w:t>河南省人民医院豫东北医院消毒供应追溯系统配套硬件采购项目</w:t>
      </w:r>
      <w:r>
        <w:rPr>
          <w:rFonts w:hint="eastAsia"/>
          <w:sz w:val="24"/>
          <w:szCs w:val="22"/>
        </w:rPr>
        <w:t>+公司名称报名资料”，待资料审核合格后统一发送至报名人邮箱。采购人拒绝报名人借用或挂靠他人单位资质报名，一经发现，取消报名人资格。</w:t>
      </w:r>
    </w:p>
    <w:p w14:paraId="69B7A3F8">
      <w:pPr>
        <w:pStyle w:val="3"/>
        <w:bidi w:val="0"/>
        <w:rPr>
          <w:rFonts w:hint="eastAsia"/>
        </w:rPr>
      </w:pPr>
      <w:bookmarkStart w:id="32" w:name="_Toc27071"/>
      <w:r>
        <w:rPr>
          <w:rFonts w:hint="eastAsia"/>
        </w:rPr>
        <w:t>5.发布公告的媒介</w:t>
      </w:r>
      <w:bookmarkEnd w:id="32"/>
    </w:p>
    <w:p w14:paraId="1B9E4D1C">
      <w:pPr>
        <w:bidi w:val="0"/>
        <w:rPr>
          <w:rFonts w:hint="eastAsia"/>
          <w:color w:val="FF0000"/>
          <w:sz w:val="24"/>
          <w:szCs w:val="22"/>
        </w:rPr>
      </w:pPr>
      <w:r>
        <w:rPr>
          <w:rFonts w:hint="eastAsia"/>
          <w:color w:val="FF0000"/>
          <w:sz w:val="24"/>
          <w:szCs w:val="22"/>
        </w:rPr>
        <w:t>本项目公告在河南省人民医院</w:t>
      </w:r>
      <w:r>
        <w:rPr>
          <w:rFonts w:hint="eastAsia"/>
          <w:color w:val="FF0000"/>
          <w:sz w:val="24"/>
          <w:szCs w:val="22"/>
          <w:lang w:val="en-US" w:eastAsia="zh-CN"/>
        </w:rPr>
        <w:t>豫东北医院官方网站</w:t>
      </w:r>
      <w:r>
        <w:rPr>
          <w:rFonts w:hint="eastAsia"/>
          <w:color w:val="FF0000"/>
          <w:sz w:val="24"/>
          <w:szCs w:val="22"/>
        </w:rPr>
        <w:t>上发布，其他转载仅供参考，采购人不承担任何责任。</w:t>
      </w:r>
    </w:p>
    <w:p w14:paraId="013A06F8">
      <w:pPr>
        <w:pStyle w:val="3"/>
        <w:spacing w:before="0" w:after="0"/>
        <w:ind w:left="0" w:right="240"/>
        <w:rPr>
          <w:rFonts w:hint="eastAsia" w:ascii="宋体" w:hAnsi="宋体" w:eastAsia="宋体" w:cs="宋体"/>
        </w:rPr>
      </w:pPr>
      <w:bookmarkStart w:id="33" w:name="_Toc907"/>
      <w:bookmarkStart w:id="34" w:name="_Toc28276"/>
      <w:bookmarkStart w:id="35" w:name="_Toc25236"/>
      <w:bookmarkStart w:id="36" w:name="_Toc1502"/>
      <w:r>
        <w:rPr>
          <w:rFonts w:hint="eastAsia" w:ascii="宋体" w:hAnsi="宋体" w:eastAsia="宋体" w:cs="宋体"/>
        </w:rPr>
        <w:t>6.</w:t>
      </w:r>
      <w:bookmarkEnd w:id="33"/>
      <w:bookmarkEnd w:id="34"/>
      <w:bookmarkStart w:id="37" w:name="_Toc417919976"/>
      <w:bookmarkStart w:id="38" w:name="_Toc495425040"/>
      <w:bookmarkStart w:id="39" w:name="_Toc461106940"/>
      <w:bookmarkStart w:id="40" w:name="_Toc495424834"/>
      <w:bookmarkStart w:id="41" w:name="_Toc495424101"/>
      <w:bookmarkStart w:id="42" w:name="_Toc493515463"/>
      <w:r>
        <w:rPr>
          <w:rFonts w:hint="eastAsia" w:ascii="宋体" w:hAnsi="宋体" w:eastAsia="宋体" w:cs="宋体"/>
        </w:rPr>
        <w:t>联系方式</w:t>
      </w:r>
      <w:bookmarkEnd w:id="35"/>
      <w:bookmarkEnd w:id="36"/>
      <w:bookmarkEnd w:id="37"/>
      <w:bookmarkEnd w:id="38"/>
      <w:bookmarkEnd w:id="39"/>
      <w:bookmarkEnd w:id="40"/>
      <w:bookmarkEnd w:id="41"/>
      <w:bookmarkEnd w:id="42"/>
    </w:p>
    <w:p w14:paraId="19605947">
      <w:pPr>
        <w:bidi w:val="0"/>
        <w:rPr>
          <w:rFonts w:hint="eastAsia"/>
          <w:sz w:val="24"/>
          <w:szCs w:val="22"/>
          <w:lang w:eastAsia="zh-CN"/>
        </w:rPr>
      </w:pPr>
      <w:r>
        <w:rPr>
          <w:rFonts w:hint="eastAsia"/>
          <w:sz w:val="24"/>
          <w:szCs w:val="22"/>
        </w:rPr>
        <w:t>采购人：</w:t>
      </w:r>
      <w:r>
        <w:rPr>
          <w:rFonts w:hint="eastAsia"/>
          <w:sz w:val="24"/>
          <w:szCs w:val="22"/>
          <w:lang w:eastAsia="zh-CN"/>
        </w:rPr>
        <w:t>河南省人民医院豫东北医院(台前县新区人民医院)</w:t>
      </w:r>
    </w:p>
    <w:p w14:paraId="1D8FFE5C">
      <w:pPr>
        <w:bidi w:val="0"/>
        <w:rPr>
          <w:rFonts w:hint="eastAsia"/>
          <w:sz w:val="24"/>
          <w:szCs w:val="22"/>
        </w:rPr>
      </w:pPr>
      <w:r>
        <w:rPr>
          <w:rFonts w:hint="eastAsia"/>
          <w:sz w:val="24"/>
          <w:szCs w:val="22"/>
        </w:rPr>
        <w:t>采购人地址：台前县西迎宾大道179号</w:t>
      </w:r>
    </w:p>
    <w:p w14:paraId="724AF39C">
      <w:pPr>
        <w:bidi w:val="0"/>
        <w:rPr>
          <w:rFonts w:hint="eastAsia"/>
          <w:sz w:val="24"/>
          <w:szCs w:val="22"/>
        </w:rPr>
      </w:pPr>
      <w:r>
        <w:rPr>
          <w:rFonts w:hint="eastAsia"/>
          <w:sz w:val="24"/>
          <w:szCs w:val="22"/>
        </w:rPr>
        <w:t>联系人： 赵老师</w:t>
      </w:r>
    </w:p>
    <w:p w14:paraId="43C8D7DD">
      <w:pPr>
        <w:bidi w:val="0"/>
        <w:rPr>
          <w:rFonts w:hint="eastAsia"/>
          <w:sz w:val="24"/>
          <w:szCs w:val="22"/>
        </w:rPr>
      </w:pPr>
      <w:r>
        <w:rPr>
          <w:rFonts w:hint="eastAsia"/>
          <w:sz w:val="24"/>
          <w:szCs w:val="22"/>
        </w:rPr>
        <w:t>联系方式：0393—2213376   13949719176</w:t>
      </w:r>
    </w:p>
    <w:p w14:paraId="4AF3DD9E">
      <w:pPr>
        <w:bidi w:val="0"/>
        <w:rPr>
          <w:rFonts w:hint="eastAsia"/>
          <w:sz w:val="24"/>
          <w:szCs w:val="22"/>
        </w:rPr>
      </w:pPr>
    </w:p>
    <w:p w14:paraId="60FC013E">
      <w:r>
        <w:br w:type="page"/>
      </w:r>
    </w:p>
    <w:p w14:paraId="78612BA4">
      <w:pPr>
        <w:pStyle w:val="2"/>
        <w:bidi w:val="0"/>
        <w:rPr>
          <w:rFonts w:hint="eastAsia"/>
        </w:rPr>
      </w:pPr>
      <w:bookmarkStart w:id="43" w:name="_Toc19065"/>
      <w:r>
        <w:rPr>
          <w:rFonts w:hint="eastAsia"/>
          <w:lang w:val="en-US" w:eastAsia="zh-CN"/>
        </w:rPr>
        <w:t>第二章  响应人须知</w:t>
      </w:r>
      <w:bookmarkEnd w:id="43"/>
    </w:p>
    <w:tbl>
      <w:tblPr>
        <w:tblStyle w:val="2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961"/>
        <w:gridCol w:w="5731"/>
      </w:tblGrid>
      <w:tr w14:paraId="2635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blHeader/>
          <w:jc w:val="center"/>
        </w:trPr>
        <w:tc>
          <w:tcPr>
            <w:tcW w:w="948" w:type="dxa"/>
            <w:noWrap w:val="0"/>
            <w:vAlign w:val="center"/>
          </w:tcPr>
          <w:p w14:paraId="73948189">
            <w:pPr>
              <w:keepNext w:val="0"/>
              <w:keepLines w:val="0"/>
              <w:pageBreakBefore w:val="0"/>
              <w:widowControl w:val="0"/>
              <w:kinsoku/>
              <w:wordWrap/>
              <w:overflowPunct/>
              <w:autoSpaceDE w:val="0"/>
              <w:autoSpaceDN w:val="0"/>
              <w:bidi w:val="0"/>
              <w:adjustRightInd w:val="0"/>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条款号</w:t>
            </w:r>
          </w:p>
        </w:tc>
        <w:tc>
          <w:tcPr>
            <w:tcW w:w="1961" w:type="dxa"/>
            <w:noWrap w:val="0"/>
            <w:vAlign w:val="center"/>
          </w:tcPr>
          <w:p w14:paraId="79760016">
            <w:pPr>
              <w:keepNext w:val="0"/>
              <w:keepLines w:val="0"/>
              <w:pageBreakBefore w:val="0"/>
              <w:widowControl w:val="0"/>
              <w:kinsoku/>
              <w:wordWrap/>
              <w:overflowPunct/>
              <w:autoSpaceDE w:val="0"/>
              <w:autoSpaceDN w:val="0"/>
              <w:bidi w:val="0"/>
              <w:adjustRightInd w:val="0"/>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条款名称</w:t>
            </w:r>
          </w:p>
        </w:tc>
        <w:tc>
          <w:tcPr>
            <w:tcW w:w="5731" w:type="dxa"/>
            <w:noWrap w:val="0"/>
            <w:vAlign w:val="center"/>
          </w:tcPr>
          <w:p w14:paraId="6D20351A">
            <w:pPr>
              <w:keepNext w:val="0"/>
              <w:keepLines w:val="0"/>
              <w:pageBreakBefore w:val="0"/>
              <w:widowControl w:val="0"/>
              <w:kinsoku/>
              <w:wordWrap/>
              <w:overflowPunct/>
              <w:autoSpaceDE w:val="0"/>
              <w:autoSpaceDN w:val="0"/>
              <w:bidi w:val="0"/>
              <w:adjustRightInd w:val="0"/>
              <w:spacing w:line="360" w:lineRule="auto"/>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编列内容</w:t>
            </w:r>
          </w:p>
        </w:tc>
      </w:tr>
      <w:tr w14:paraId="60CF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948" w:type="dxa"/>
            <w:noWrap w:val="0"/>
            <w:vAlign w:val="center"/>
          </w:tcPr>
          <w:p w14:paraId="3AAEC026">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w:t>
            </w:r>
          </w:p>
        </w:tc>
        <w:tc>
          <w:tcPr>
            <w:tcW w:w="1961" w:type="dxa"/>
            <w:noWrap w:val="0"/>
            <w:vAlign w:val="center"/>
          </w:tcPr>
          <w:p w14:paraId="6A6C94B4">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w:t>
            </w:r>
          </w:p>
        </w:tc>
        <w:tc>
          <w:tcPr>
            <w:tcW w:w="5731" w:type="dxa"/>
            <w:noWrap w:val="0"/>
            <w:vAlign w:val="center"/>
          </w:tcPr>
          <w:p w14:paraId="43D3FBC6">
            <w:pPr>
              <w:pStyle w:val="8"/>
              <w:keepNext w:val="0"/>
              <w:keepLines w:val="0"/>
              <w:pageBreakBefore w:val="0"/>
              <w:widowControl w:val="0"/>
              <w:kinsoku/>
              <w:wordWrap/>
              <w:overflowPunct/>
              <w:topLinePunct/>
              <w:bidi w:val="0"/>
              <w:spacing w:line="360" w:lineRule="auto"/>
              <w:ind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w:t>
            </w:r>
            <w:r>
              <w:rPr>
                <w:rFonts w:hint="eastAsia" w:ascii="宋体" w:hAnsi="宋体" w:eastAsia="宋体" w:cs="宋体"/>
                <w:color w:val="000000" w:themeColor="text1"/>
                <w:sz w:val="24"/>
                <w:szCs w:val="24"/>
                <w:lang w:eastAsia="zh-CN"/>
                <w14:textFill>
                  <w14:solidFill>
                    <w14:schemeClr w14:val="tx1"/>
                  </w14:solidFill>
                </w14:textFill>
              </w:rPr>
              <w:t>河南省人民医院豫东北医院(台前县新区人民医院)</w:t>
            </w:r>
          </w:p>
          <w:p w14:paraId="145AC096">
            <w:pPr>
              <w:pStyle w:val="8"/>
              <w:keepNext w:val="0"/>
              <w:keepLines w:val="0"/>
              <w:pageBreakBefore w:val="0"/>
              <w:widowControl w:val="0"/>
              <w:kinsoku/>
              <w:wordWrap/>
              <w:overflowPunct/>
              <w:topLinePunct/>
              <w:bidi w:val="0"/>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采购人地址：台前县西迎宾大道179号</w:t>
            </w:r>
          </w:p>
          <w:p w14:paraId="660524EB">
            <w:pPr>
              <w:pStyle w:val="8"/>
              <w:keepNext w:val="0"/>
              <w:keepLines w:val="0"/>
              <w:pageBreakBefore w:val="0"/>
              <w:widowControl w:val="0"/>
              <w:kinsoku/>
              <w:wordWrap/>
              <w:overflowPunct/>
              <w:topLinePunct/>
              <w:bidi w:val="0"/>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 赵老师</w:t>
            </w:r>
          </w:p>
          <w:p w14:paraId="18C81689">
            <w:pPr>
              <w:pStyle w:val="8"/>
              <w:keepNext w:val="0"/>
              <w:keepLines w:val="0"/>
              <w:pageBreakBefore w:val="0"/>
              <w:widowControl w:val="0"/>
              <w:kinsoku/>
              <w:wordWrap/>
              <w:overflowPunct/>
              <w:topLinePunct/>
              <w:bidi w:val="0"/>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联系方式：0393—2213376   13949719176</w:t>
            </w:r>
          </w:p>
        </w:tc>
      </w:tr>
      <w:tr w14:paraId="4D89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8" w:type="dxa"/>
            <w:noWrap w:val="0"/>
            <w:vAlign w:val="center"/>
          </w:tcPr>
          <w:p w14:paraId="3E2C75FE">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w:t>
            </w:r>
          </w:p>
        </w:tc>
        <w:tc>
          <w:tcPr>
            <w:tcW w:w="1961" w:type="dxa"/>
            <w:noWrap w:val="0"/>
            <w:vAlign w:val="center"/>
          </w:tcPr>
          <w:p w14:paraId="1A45D054">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5731" w:type="dxa"/>
            <w:noWrap w:val="0"/>
            <w:vAlign w:val="center"/>
          </w:tcPr>
          <w:p w14:paraId="55D8D9EC">
            <w:pPr>
              <w:pStyle w:val="8"/>
              <w:keepNext w:val="0"/>
              <w:keepLines w:val="0"/>
              <w:pageBreakBefore w:val="0"/>
              <w:widowControl w:val="0"/>
              <w:kinsoku/>
              <w:wordWrap/>
              <w:overflowPunct/>
              <w:topLinePunct/>
              <w:bidi w:val="0"/>
              <w:spacing w:line="360" w:lineRule="auto"/>
              <w:ind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河南省人民医院豫东北医院消毒供应追溯系统配套硬件采购项目</w:t>
            </w:r>
          </w:p>
        </w:tc>
      </w:tr>
      <w:tr w14:paraId="7C64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48" w:type="dxa"/>
            <w:noWrap w:val="0"/>
            <w:vAlign w:val="center"/>
          </w:tcPr>
          <w:p w14:paraId="22748C69">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p>
        </w:tc>
        <w:tc>
          <w:tcPr>
            <w:tcW w:w="1961" w:type="dxa"/>
            <w:noWrap w:val="0"/>
            <w:vAlign w:val="center"/>
          </w:tcPr>
          <w:p w14:paraId="0A1ED45B">
            <w:pPr>
              <w:keepNext w:val="0"/>
              <w:keepLines w:val="0"/>
              <w:pageBreakBefore w:val="0"/>
              <w:widowControl w:val="0"/>
              <w:kinsoku/>
              <w:wordWrap/>
              <w:overflowPunct/>
              <w:bidi w:val="0"/>
              <w:adjustRightInd w:val="0"/>
              <w:spacing w:line="360" w:lineRule="auto"/>
              <w:ind w:firstLine="0" w:firstLineChars="0"/>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采购范围</w:t>
            </w:r>
          </w:p>
        </w:tc>
        <w:tc>
          <w:tcPr>
            <w:tcW w:w="5731" w:type="dxa"/>
            <w:noWrap w:val="0"/>
            <w:vAlign w:val="center"/>
          </w:tcPr>
          <w:p w14:paraId="5CE9BBE9">
            <w:pPr>
              <w:keepNext w:val="0"/>
              <w:keepLines w:val="0"/>
              <w:pageBreakBefore w:val="0"/>
              <w:widowControl w:val="0"/>
              <w:kinsoku/>
              <w:wordWrap/>
              <w:overflowPunct/>
              <w:bidi w:val="0"/>
              <w:adjustRightInd w:val="0"/>
              <w:snapToGrid w:val="0"/>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拟招标品类包括</w:t>
            </w:r>
            <w:r>
              <w:rPr>
                <w:rFonts w:hint="eastAsia"/>
                <w:sz w:val="24"/>
                <w:szCs w:val="22"/>
              </w:rPr>
              <w:t>电脑</w:t>
            </w:r>
            <w:r>
              <w:rPr>
                <w:rFonts w:hint="eastAsia"/>
                <w:sz w:val="24"/>
                <w:szCs w:val="22"/>
                <w:lang w:val="en-US" w:eastAsia="zh-CN"/>
              </w:rPr>
              <w:t>一体机</w:t>
            </w:r>
            <w:r>
              <w:rPr>
                <w:rFonts w:hint="eastAsia"/>
                <w:sz w:val="24"/>
                <w:szCs w:val="22"/>
              </w:rPr>
              <w:t>、条码打印机、</w:t>
            </w:r>
            <w:r>
              <w:rPr>
                <w:rFonts w:hint="eastAsia"/>
                <w:sz w:val="24"/>
                <w:szCs w:val="22"/>
                <w:lang w:val="en-US" w:eastAsia="zh-CN"/>
              </w:rPr>
              <w:t>针式打印机、扫描枪、彩色打印机、串口服务器、交换机、高温条码纸</w:t>
            </w:r>
            <w:r>
              <w:rPr>
                <w:rFonts w:hint="eastAsia" w:ascii="宋体" w:hAnsi="宋体" w:eastAsia="宋体" w:cs="宋体"/>
                <w:color w:val="000000" w:themeColor="text1"/>
                <w:sz w:val="24"/>
                <w:szCs w:val="24"/>
                <w14:textFill>
                  <w14:solidFill>
                    <w14:schemeClr w14:val="tx1"/>
                  </w14:solidFill>
                </w14:textFill>
              </w:rPr>
              <w:t>等</w:t>
            </w:r>
          </w:p>
        </w:tc>
      </w:tr>
      <w:tr w14:paraId="1162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8" w:type="dxa"/>
            <w:noWrap w:val="0"/>
            <w:vAlign w:val="center"/>
          </w:tcPr>
          <w:p w14:paraId="11504EBA">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p>
        </w:tc>
        <w:tc>
          <w:tcPr>
            <w:tcW w:w="1961" w:type="dxa"/>
            <w:noWrap w:val="0"/>
            <w:vAlign w:val="bottom"/>
          </w:tcPr>
          <w:p w14:paraId="4C8A94D9">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标段划分</w:t>
            </w:r>
          </w:p>
        </w:tc>
        <w:tc>
          <w:tcPr>
            <w:tcW w:w="5731" w:type="dxa"/>
            <w:noWrap w:val="0"/>
            <w:vAlign w:val="center"/>
          </w:tcPr>
          <w:p w14:paraId="7B72353B">
            <w:pPr>
              <w:pStyle w:val="8"/>
              <w:keepNext w:val="0"/>
              <w:keepLines w:val="0"/>
              <w:pageBreakBefore w:val="0"/>
              <w:widowControl w:val="0"/>
              <w:kinsoku/>
              <w:wordWrap/>
              <w:overflowPunct/>
              <w:topLinePunct/>
              <w:bidi w:val="0"/>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一个标段</w:t>
            </w:r>
          </w:p>
        </w:tc>
      </w:tr>
      <w:tr w14:paraId="6D2B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8" w:type="dxa"/>
            <w:noWrap w:val="0"/>
            <w:vAlign w:val="center"/>
          </w:tcPr>
          <w:p w14:paraId="7EE80515">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1.4.3</w:t>
            </w:r>
          </w:p>
        </w:tc>
        <w:tc>
          <w:tcPr>
            <w:tcW w:w="1961" w:type="dxa"/>
            <w:noWrap w:val="0"/>
            <w:vAlign w:val="bottom"/>
          </w:tcPr>
          <w:p w14:paraId="15B20BF5">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服务期限</w:t>
            </w:r>
          </w:p>
        </w:tc>
        <w:tc>
          <w:tcPr>
            <w:tcW w:w="5731" w:type="dxa"/>
            <w:noWrap w:val="0"/>
            <w:vAlign w:val="center"/>
          </w:tcPr>
          <w:p w14:paraId="5B606C4D">
            <w:pPr>
              <w:pStyle w:val="8"/>
              <w:keepNext w:val="0"/>
              <w:keepLines w:val="0"/>
              <w:pageBreakBefore w:val="0"/>
              <w:widowControl w:val="0"/>
              <w:kinsoku/>
              <w:wordWrap/>
              <w:overflowPunct/>
              <w:topLinePunct/>
              <w:bidi w:val="0"/>
              <w:spacing w:line="360" w:lineRule="auto"/>
              <w:ind w:firstLine="0"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开始供货</w:t>
            </w:r>
            <w:r>
              <w:rPr>
                <w:rFonts w:hint="eastAsia" w:ascii="宋体" w:hAnsi="宋体" w:eastAsia="宋体" w:cs="宋体"/>
                <w:color w:val="000000" w:themeColor="text1"/>
                <w:sz w:val="24"/>
                <w:szCs w:val="24"/>
                <w14:textFill>
                  <w14:solidFill>
                    <w14:schemeClr w14:val="tx1"/>
                  </w14:solidFill>
                </w14:textFill>
              </w:rPr>
              <w:t>之日起</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w:t>
            </w:r>
          </w:p>
        </w:tc>
      </w:tr>
      <w:tr w14:paraId="5161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48" w:type="dxa"/>
            <w:noWrap w:val="0"/>
            <w:vAlign w:val="center"/>
          </w:tcPr>
          <w:p w14:paraId="7746D9D6">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1.4.4</w:t>
            </w:r>
          </w:p>
        </w:tc>
        <w:tc>
          <w:tcPr>
            <w:tcW w:w="1961" w:type="dxa"/>
            <w:noWrap w:val="0"/>
            <w:vAlign w:val="bottom"/>
          </w:tcPr>
          <w:p w14:paraId="50A9C80E">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质量保证期</w:t>
            </w:r>
          </w:p>
        </w:tc>
        <w:tc>
          <w:tcPr>
            <w:tcW w:w="5731" w:type="dxa"/>
            <w:noWrap w:val="0"/>
            <w:vAlign w:val="center"/>
          </w:tcPr>
          <w:p w14:paraId="4AA249D3">
            <w:pPr>
              <w:pStyle w:val="8"/>
              <w:keepNext w:val="0"/>
              <w:keepLines w:val="0"/>
              <w:pageBreakBefore w:val="0"/>
              <w:widowControl w:val="0"/>
              <w:kinsoku/>
              <w:wordWrap/>
              <w:overflowPunct/>
              <w:topLinePunct/>
              <w:bidi w:val="0"/>
              <w:spacing w:line="360" w:lineRule="auto"/>
              <w:ind w:firstLine="0"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验收合格之日起</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年</w:t>
            </w:r>
          </w:p>
        </w:tc>
      </w:tr>
      <w:tr w14:paraId="6C0CD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8" w:type="dxa"/>
            <w:noWrap w:val="0"/>
            <w:vAlign w:val="center"/>
          </w:tcPr>
          <w:p w14:paraId="5D5B872E">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1.4.5</w:t>
            </w:r>
          </w:p>
        </w:tc>
        <w:tc>
          <w:tcPr>
            <w:tcW w:w="1961" w:type="dxa"/>
            <w:noWrap w:val="0"/>
            <w:vAlign w:val="bottom"/>
          </w:tcPr>
          <w:p w14:paraId="51339742">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成交人数量： </w:t>
            </w:r>
          </w:p>
        </w:tc>
        <w:tc>
          <w:tcPr>
            <w:tcW w:w="5731" w:type="dxa"/>
            <w:noWrap w:val="0"/>
            <w:vAlign w:val="center"/>
          </w:tcPr>
          <w:p w14:paraId="13A6EFD6">
            <w:pPr>
              <w:pStyle w:val="8"/>
              <w:keepNext w:val="0"/>
              <w:keepLines w:val="0"/>
              <w:pageBreakBefore w:val="0"/>
              <w:widowControl w:val="0"/>
              <w:kinsoku/>
              <w:wordWrap/>
              <w:overflowPunct/>
              <w:topLinePunct/>
              <w:bidi w:val="0"/>
              <w:spacing w:line="360" w:lineRule="auto"/>
              <w:ind w:firstLine="0" w:firstLineChars="0"/>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1名</w:t>
            </w:r>
          </w:p>
        </w:tc>
      </w:tr>
      <w:tr w14:paraId="0731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8" w:type="dxa"/>
            <w:noWrap w:val="0"/>
            <w:vAlign w:val="center"/>
          </w:tcPr>
          <w:p w14:paraId="1AE65D79">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1.5.1</w:t>
            </w:r>
          </w:p>
        </w:tc>
        <w:tc>
          <w:tcPr>
            <w:tcW w:w="1961" w:type="dxa"/>
            <w:noWrap w:val="0"/>
            <w:vAlign w:val="center"/>
          </w:tcPr>
          <w:p w14:paraId="4B58854D">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响应人资格要求</w:t>
            </w:r>
          </w:p>
        </w:tc>
        <w:tc>
          <w:tcPr>
            <w:tcW w:w="5731" w:type="dxa"/>
            <w:noWrap w:val="0"/>
            <w:vAlign w:val="center"/>
          </w:tcPr>
          <w:p w14:paraId="05CB2C5C">
            <w:pPr>
              <w:pStyle w:val="8"/>
              <w:keepNext w:val="0"/>
              <w:keepLines w:val="0"/>
              <w:pageBreakBefore w:val="0"/>
              <w:widowControl w:val="0"/>
              <w:kinsoku/>
              <w:wordWrap/>
              <w:overflowPunct/>
              <w:topLinePunct/>
              <w:bidi w:val="0"/>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见本竞争性磋商文件“第一章  竞争性磋商公告”第3条</w:t>
            </w:r>
          </w:p>
        </w:tc>
      </w:tr>
      <w:tr w14:paraId="4C86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48" w:type="dxa"/>
            <w:noWrap w:val="0"/>
            <w:vAlign w:val="center"/>
          </w:tcPr>
          <w:p w14:paraId="1CC8BAE0">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1.5.2</w:t>
            </w:r>
          </w:p>
        </w:tc>
        <w:tc>
          <w:tcPr>
            <w:tcW w:w="1961" w:type="dxa"/>
            <w:noWrap w:val="0"/>
            <w:vAlign w:val="center"/>
          </w:tcPr>
          <w:p w14:paraId="157AC714">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是否接受联合体</w:t>
            </w:r>
          </w:p>
        </w:tc>
        <w:tc>
          <w:tcPr>
            <w:tcW w:w="5731" w:type="dxa"/>
            <w:noWrap w:val="0"/>
            <w:vAlign w:val="center"/>
          </w:tcPr>
          <w:p w14:paraId="5A7E5B94">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不接受</w:t>
            </w:r>
          </w:p>
        </w:tc>
      </w:tr>
      <w:tr w14:paraId="0DEA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8" w:type="dxa"/>
            <w:noWrap w:val="0"/>
            <w:vAlign w:val="center"/>
          </w:tcPr>
          <w:p w14:paraId="78428D97">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1.10.1</w:t>
            </w:r>
          </w:p>
        </w:tc>
        <w:tc>
          <w:tcPr>
            <w:tcW w:w="1961" w:type="dxa"/>
            <w:noWrap w:val="0"/>
            <w:vAlign w:val="center"/>
          </w:tcPr>
          <w:p w14:paraId="607A2F68">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磋商预备会</w:t>
            </w:r>
          </w:p>
        </w:tc>
        <w:tc>
          <w:tcPr>
            <w:tcW w:w="5731" w:type="dxa"/>
            <w:noWrap w:val="0"/>
            <w:vAlign w:val="center"/>
          </w:tcPr>
          <w:p w14:paraId="445B4D33">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不召开</w:t>
            </w:r>
          </w:p>
        </w:tc>
      </w:tr>
      <w:tr w14:paraId="0E45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48" w:type="dxa"/>
            <w:noWrap w:val="0"/>
            <w:vAlign w:val="center"/>
          </w:tcPr>
          <w:p w14:paraId="535A605B">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1.10.2</w:t>
            </w:r>
          </w:p>
        </w:tc>
        <w:tc>
          <w:tcPr>
            <w:tcW w:w="1961" w:type="dxa"/>
            <w:noWrap w:val="0"/>
            <w:vAlign w:val="center"/>
          </w:tcPr>
          <w:p w14:paraId="7FD542CC">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响应人对采购文件提出问题的截止时间</w:t>
            </w:r>
          </w:p>
        </w:tc>
        <w:tc>
          <w:tcPr>
            <w:tcW w:w="5731" w:type="dxa"/>
            <w:noWrap w:val="0"/>
            <w:vAlign w:val="center"/>
          </w:tcPr>
          <w:p w14:paraId="76D926FA">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提交响应文件截止之日前</w:t>
            </w:r>
          </w:p>
        </w:tc>
      </w:tr>
      <w:tr w14:paraId="611A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48" w:type="dxa"/>
            <w:noWrap w:val="0"/>
            <w:vAlign w:val="center"/>
          </w:tcPr>
          <w:p w14:paraId="496B6B19">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1.10.3</w:t>
            </w:r>
          </w:p>
        </w:tc>
        <w:tc>
          <w:tcPr>
            <w:tcW w:w="1961" w:type="dxa"/>
            <w:noWrap w:val="0"/>
            <w:vAlign w:val="center"/>
          </w:tcPr>
          <w:p w14:paraId="33086F76">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采购人书面澄清的时间</w:t>
            </w:r>
          </w:p>
        </w:tc>
        <w:tc>
          <w:tcPr>
            <w:tcW w:w="5731" w:type="dxa"/>
            <w:noWrap w:val="0"/>
            <w:vAlign w:val="center"/>
          </w:tcPr>
          <w:p w14:paraId="78CADEA5">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提交响应文件截止之日止前5日历天</w:t>
            </w:r>
          </w:p>
        </w:tc>
      </w:tr>
      <w:tr w14:paraId="3613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8" w:type="dxa"/>
            <w:noWrap w:val="0"/>
            <w:vAlign w:val="center"/>
          </w:tcPr>
          <w:p w14:paraId="0B6844C3">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961" w:type="dxa"/>
            <w:noWrap w:val="0"/>
            <w:vAlign w:val="center"/>
          </w:tcPr>
          <w:p w14:paraId="4DD40264">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分包</w:t>
            </w:r>
          </w:p>
        </w:tc>
        <w:tc>
          <w:tcPr>
            <w:tcW w:w="5731" w:type="dxa"/>
            <w:noWrap w:val="0"/>
            <w:vAlign w:val="center"/>
          </w:tcPr>
          <w:p w14:paraId="5F2322E3">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tc>
      </w:tr>
      <w:tr w14:paraId="7A3B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948" w:type="dxa"/>
            <w:noWrap w:val="0"/>
            <w:vAlign w:val="center"/>
          </w:tcPr>
          <w:p w14:paraId="5D426EDA">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p>
        </w:tc>
        <w:tc>
          <w:tcPr>
            <w:tcW w:w="1961" w:type="dxa"/>
            <w:noWrap w:val="0"/>
            <w:vAlign w:val="center"/>
          </w:tcPr>
          <w:p w14:paraId="203A7D16">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构成竞争性磋商文件的其他材料</w:t>
            </w:r>
          </w:p>
        </w:tc>
        <w:tc>
          <w:tcPr>
            <w:tcW w:w="5731" w:type="dxa"/>
            <w:noWrap w:val="0"/>
            <w:vAlign w:val="center"/>
          </w:tcPr>
          <w:p w14:paraId="1A4C16B7">
            <w:pPr>
              <w:pStyle w:val="8"/>
              <w:keepNext w:val="0"/>
              <w:keepLines w:val="0"/>
              <w:pageBreakBefore w:val="0"/>
              <w:widowControl w:val="0"/>
              <w:kinsoku/>
              <w:wordWrap/>
              <w:overflowPunct/>
              <w:topLinePunct/>
              <w:bidi w:val="0"/>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除竞争性磋商文件外，采购人根据本章第1.10款、第2.2款和第2.3款对竞争性磋商文件所作的澄清、修改，构成竞争性磋商文件的组成部分</w:t>
            </w:r>
          </w:p>
        </w:tc>
      </w:tr>
      <w:tr w14:paraId="4415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48" w:type="dxa"/>
            <w:noWrap w:val="0"/>
            <w:vAlign w:val="center"/>
          </w:tcPr>
          <w:p w14:paraId="4D0AAB38">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p>
        </w:tc>
        <w:tc>
          <w:tcPr>
            <w:tcW w:w="1961" w:type="dxa"/>
            <w:noWrap w:val="0"/>
            <w:vAlign w:val="center"/>
          </w:tcPr>
          <w:p w14:paraId="7AA11EB3">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提交响应文件截止时间（磋商截止时间）</w:t>
            </w:r>
          </w:p>
        </w:tc>
        <w:tc>
          <w:tcPr>
            <w:tcW w:w="5731" w:type="dxa"/>
            <w:noWrap w:val="0"/>
            <w:vAlign w:val="center"/>
          </w:tcPr>
          <w:p w14:paraId="3E181A1D">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202</w:t>
            </w:r>
            <w:r>
              <w:rPr>
                <w:rFonts w:hint="eastAsia"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年</w:t>
            </w:r>
            <w:r>
              <w:rPr>
                <w:rFonts w:hint="eastAsia"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月</w:t>
            </w:r>
            <w:r>
              <w:rPr>
                <w:rFonts w:hint="eastAsia" w:cs="宋体"/>
                <w:b/>
                <w:bCs/>
                <w:color w:val="000000" w:themeColor="text1"/>
                <w:sz w:val="24"/>
                <w:szCs w:val="24"/>
                <w:lang w:val="en-US" w:eastAsia="zh-CN"/>
                <w14:textFill>
                  <w14:solidFill>
                    <w14:schemeClr w14:val="tx1"/>
                  </w14:solidFill>
                </w14:textFill>
              </w:rPr>
              <w:t>14</w:t>
            </w:r>
            <w:r>
              <w:rPr>
                <w:rFonts w:hint="eastAsia" w:ascii="宋体" w:hAnsi="宋体" w:eastAsia="宋体" w:cs="宋体"/>
                <w:b/>
                <w:bCs/>
                <w:color w:val="000000" w:themeColor="text1"/>
                <w:sz w:val="24"/>
                <w:szCs w:val="24"/>
                <w14:textFill>
                  <w14:solidFill>
                    <w14:schemeClr w14:val="tx1"/>
                  </w14:solidFill>
                </w14:textFill>
              </w:rPr>
              <w:t>日9时</w:t>
            </w:r>
            <w:r>
              <w:rPr>
                <w:rFonts w:hint="eastAsia" w:cs="宋体"/>
                <w:b/>
                <w:bCs/>
                <w:color w:val="000000" w:themeColor="text1"/>
                <w:sz w:val="24"/>
                <w:szCs w:val="24"/>
                <w:lang w:val="en-US" w:eastAsia="zh-CN"/>
                <w14:textFill>
                  <w14:solidFill>
                    <w14:schemeClr w14:val="tx1"/>
                  </w14:solidFill>
                </w14:textFill>
              </w:rPr>
              <w:t>0</w:t>
            </w:r>
            <w:r>
              <w:rPr>
                <w:rFonts w:hint="eastAsia" w:ascii="宋体" w:hAnsi="宋体" w:eastAsia="宋体" w:cs="宋体"/>
                <w:b/>
                <w:bCs/>
                <w:color w:val="000000" w:themeColor="text1"/>
                <w:sz w:val="24"/>
                <w:szCs w:val="24"/>
                <w14:textFill>
                  <w14:solidFill>
                    <w14:schemeClr w14:val="tx1"/>
                  </w14:solidFill>
                </w14:textFill>
              </w:rPr>
              <w:t>0分</w:t>
            </w:r>
          </w:p>
        </w:tc>
      </w:tr>
      <w:tr w14:paraId="3D64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948" w:type="dxa"/>
            <w:noWrap w:val="0"/>
            <w:vAlign w:val="center"/>
          </w:tcPr>
          <w:p w14:paraId="31A82588">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w:t>
            </w:r>
          </w:p>
        </w:tc>
        <w:tc>
          <w:tcPr>
            <w:tcW w:w="1961" w:type="dxa"/>
            <w:noWrap w:val="0"/>
            <w:vAlign w:val="center"/>
          </w:tcPr>
          <w:p w14:paraId="6CB89220">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响应人确认收到竞争性磋商文件澄清的时间</w:t>
            </w:r>
          </w:p>
        </w:tc>
        <w:tc>
          <w:tcPr>
            <w:tcW w:w="5731" w:type="dxa"/>
            <w:noWrap w:val="0"/>
            <w:vAlign w:val="center"/>
          </w:tcPr>
          <w:p w14:paraId="68B1E58B">
            <w:pPr>
              <w:keepNext w:val="0"/>
              <w:keepLines w:val="0"/>
              <w:pageBreakBefore w:val="0"/>
              <w:widowControl w:val="0"/>
              <w:kinsoku/>
              <w:wordWrap/>
              <w:overflowPunct/>
              <w:bidi w:val="0"/>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在收到相应澄清文件后24小时内</w:t>
            </w:r>
          </w:p>
        </w:tc>
      </w:tr>
      <w:tr w14:paraId="3ECA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948" w:type="dxa"/>
            <w:noWrap w:val="0"/>
            <w:vAlign w:val="center"/>
          </w:tcPr>
          <w:p w14:paraId="0E0A58FC">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w:t>
            </w:r>
          </w:p>
        </w:tc>
        <w:tc>
          <w:tcPr>
            <w:tcW w:w="1961" w:type="dxa"/>
            <w:noWrap w:val="0"/>
            <w:vAlign w:val="center"/>
          </w:tcPr>
          <w:p w14:paraId="23F83915">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响应人确认收到竞争性磋商文件修改的时间</w:t>
            </w:r>
          </w:p>
        </w:tc>
        <w:tc>
          <w:tcPr>
            <w:tcW w:w="5731" w:type="dxa"/>
            <w:noWrap w:val="0"/>
            <w:vAlign w:val="center"/>
          </w:tcPr>
          <w:p w14:paraId="5BE57B7F">
            <w:pPr>
              <w:keepNext w:val="0"/>
              <w:keepLines w:val="0"/>
              <w:pageBreakBefore w:val="0"/>
              <w:widowControl w:val="0"/>
              <w:kinsoku/>
              <w:wordWrap/>
              <w:overflowPunct/>
              <w:bidi w:val="0"/>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在收到相应修改文件后24小时内</w:t>
            </w:r>
          </w:p>
        </w:tc>
      </w:tr>
      <w:tr w14:paraId="0A17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48" w:type="dxa"/>
            <w:noWrap w:val="0"/>
            <w:vAlign w:val="center"/>
          </w:tcPr>
          <w:p w14:paraId="55AA7A6F">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w:t>
            </w:r>
          </w:p>
        </w:tc>
        <w:tc>
          <w:tcPr>
            <w:tcW w:w="1961" w:type="dxa"/>
            <w:noWrap w:val="0"/>
            <w:vAlign w:val="center"/>
          </w:tcPr>
          <w:p w14:paraId="3DB7607A">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构成响应文件的</w:t>
            </w:r>
          </w:p>
          <w:p w14:paraId="48100373">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其他材料</w:t>
            </w:r>
          </w:p>
        </w:tc>
        <w:tc>
          <w:tcPr>
            <w:tcW w:w="5731" w:type="dxa"/>
            <w:noWrap w:val="0"/>
            <w:vAlign w:val="center"/>
          </w:tcPr>
          <w:p w14:paraId="09838834">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响应人认为需要提交的其他材料</w:t>
            </w:r>
          </w:p>
        </w:tc>
      </w:tr>
      <w:tr w14:paraId="4575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48" w:type="dxa"/>
            <w:noWrap w:val="0"/>
            <w:vAlign w:val="center"/>
          </w:tcPr>
          <w:p w14:paraId="6C4EB365">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3.3.1</w:t>
            </w:r>
          </w:p>
        </w:tc>
        <w:tc>
          <w:tcPr>
            <w:tcW w:w="1961" w:type="dxa"/>
            <w:noWrap w:val="0"/>
            <w:vAlign w:val="center"/>
          </w:tcPr>
          <w:p w14:paraId="5751D4F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磋商有效期</w:t>
            </w:r>
          </w:p>
        </w:tc>
        <w:tc>
          <w:tcPr>
            <w:tcW w:w="5731" w:type="dxa"/>
            <w:noWrap w:val="0"/>
            <w:vAlign w:val="top"/>
          </w:tcPr>
          <w:p w14:paraId="31F1667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提交首次响应文件的截止之日起</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日历天</w:t>
            </w:r>
          </w:p>
        </w:tc>
      </w:tr>
      <w:tr w14:paraId="0248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48" w:type="dxa"/>
            <w:noWrap w:val="0"/>
            <w:vAlign w:val="center"/>
          </w:tcPr>
          <w:p w14:paraId="3EDD10E5">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w:t>
            </w:r>
          </w:p>
        </w:tc>
        <w:tc>
          <w:tcPr>
            <w:tcW w:w="1961" w:type="dxa"/>
            <w:noWrap w:val="0"/>
            <w:vAlign w:val="center"/>
          </w:tcPr>
          <w:p w14:paraId="6259CC21">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磋商保证金</w:t>
            </w:r>
          </w:p>
        </w:tc>
        <w:tc>
          <w:tcPr>
            <w:tcW w:w="5731" w:type="dxa"/>
            <w:noWrap w:val="0"/>
            <w:vAlign w:val="center"/>
          </w:tcPr>
          <w:p w14:paraId="60D6E16E">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不要求</w:t>
            </w:r>
          </w:p>
        </w:tc>
      </w:tr>
      <w:tr w14:paraId="3D2E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8" w:type="dxa"/>
            <w:noWrap w:val="0"/>
            <w:vAlign w:val="center"/>
          </w:tcPr>
          <w:p w14:paraId="350B88E8">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961" w:type="dxa"/>
            <w:noWrap w:val="0"/>
            <w:vAlign w:val="center"/>
          </w:tcPr>
          <w:p w14:paraId="693EEBDF">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是否允许递交备选磋商方案</w:t>
            </w:r>
          </w:p>
        </w:tc>
        <w:tc>
          <w:tcPr>
            <w:tcW w:w="5731" w:type="dxa"/>
            <w:noWrap w:val="0"/>
            <w:vAlign w:val="center"/>
          </w:tcPr>
          <w:p w14:paraId="183DAD6F">
            <w:pPr>
              <w:pStyle w:val="8"/>
              <w:keepNext w:val="0"/>
              <w:keepLines w:val="0"/>
              <w:pageBreakBefore w:val="0"/>
              <w:widowControl w:val="0"/>
              <w:kinsoku/>
              <w:wordWrap/>
              <w:overflowPunct/>
              <w:topLine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tc>
      </w:tr>
      <w:tr w14:paraId="62D9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48" w:type="dxa"/>
            <w:noWrap w:val="0"/>
            <w:vAlign w:val="center"/>
          </w:tcPr>
          <w:p w14:paraId="34660235">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.3</w:t>
            </w:r>
          </w:p>
        </w:tc>
        <w:tc>
          <w:tcPr>
            <w:tcW w:w="1961" w:type="dxa"/>
            <w:noWrap w:val="0"/>
            <w:vAlign w:val="center"/>
          </w:tcPr>
          <w:p w14:paraId="69566765">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签字或盖章要求</w:t>
            </w:r>
          </w:p>
        </w:tc>
        <w:tc>
          <w:tcPr>
            <w:tcW w:w="5731" w:type="dxa"/>
            <w:noWrap w:val="0"/>
            <w:vAlign w:val="center"/>
          </w:tcPr>
          <w:p w14:paraId="5F4283D4">
            <w:pPr>
              <w:pStyle w:val="8"/>
              <w:keepNext w:val="0"/>
              <w:keepLines w:val="0"/>
              <w:pageBreakBefore w:val="0"/>
              <w:widowControl w:val="0"/>
              <w:kinsoku/>
              <w:wordWrap/>
              <w:overflowPunct/>
              <w:topLine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响应文件中磋商函、磋商函附录由响应人的法定代表人或其委托代理人签字或盖章并盖单位公章。委托代理人签字或盖章的，其法定代表人授权委托书须由法定代表人签字或盖章</w:t>
            </w:r>
          </w:p>
        </w:tc>
      </w:tr>
      <w:tr w14:paraId="2E60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48" w:type="dxa"/>
            <w:noWrap w:val="0"/>
            <w:vAlign w:val="center"/>
          </w:tcPr>
          <w:p w14:paraId="64800539">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.4</w:t>
            </w:r>
          </w:p>
        </w:tc>
        <w:tc>
          <w:tcPr>
            <w:tcW w:w="1961" w:type="dxa"/>
            <w:noWrap w:val="0"/>
            <w:vAlign w:val="center"/>
          </w:tcPr>
          <w:p w14:paraId="57CE3C2B">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响应文件份数</w:t>
            </w:r>
          </w:p>
        </w:tc>
        <w:tc>
          <w:tcPr>
            <w:tcW w:w="5731" w:type="dxa"/>
            <w:noWrap w:val="0"/>
            <w:vAlign w:val="center"/>
          </w:tcPr>
          <w:p w14:paraId="401DD91C">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正本壹份，副本陆份。分别加盖“正本”“副本”印章。正本与副本如有差别，以正本为准，责任由响应人自负。</w:t>
            </w:r>
          </w:p>
        </w:tc>
      </w:tr>
      <w:tr w14:paraId="720F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948" w:type="dxa"/>
            <w:noWrap w:val="0"/>
            <w:vAlign w:val="center"/>
          </w:tcPr>
          <w:p w14:paraId="43DADC0A">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.5</w:t>
            </w:r>
          </w:p>
        </w:tc>
        <w:tc>
          <w:tcPr>
            <w:tcW w:w="1961" w:type="dxa"/>
            <w:noWrap w:val="0"/>
            <w:vAlign w:val="center"/>
          </w:tcPr>
          <w:p w14:paraId="2A992939">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装订要求</w:t>
            </w:r>
          </w:p>
        </w:tc>
        <w:tc>
          <w:tcPr>
            <w:tcW w:w="5731" w:type="dxa"/>
            <w:noWrap w:val="0"/>
            <w:vAlign w:val="center"/>
          </w:tcPr>
          <w:p w14:paraId="0EB83676">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响应文件的正本与副本建议采用软皮胶装方式装订，双面打印，并标明页码，装订应牢固、不易拆散和换页，不得采用活页装订</w:t>
            </w:r>
            <w:r>
              <w:rPr>
                <w:rFonts w:hint="eastAsia" w:cs="宋体"/>
                <w:color w:val="000000" w:themeColor="text1"/>
                <w:sz w:val="24"/>
                <w:szCs w:val="24"/>
                <w:lang w:eastAsia="zh-CN"/>
                <w14:textFill>
                  <w14:solidFill>
                    <w14:schemeClr w14:val="tx1"/>
                  </w14:solidFill>
                </w14:textFill>
              </w:rPr>
              <w:t>。</w:t>
            </w:r>
          </w:p>
        </w:tc>
      </w:tr>
      <w:tr w14:paraId="14C5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8" w:type="dxa"/>
            <w:noWrap w:val="0"/>
            <w:vAlign w:val="center"/>
          </w:tcPr>
          <w:p w14:paraId="2E7AB60E">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4.1.2</w:t>
            </w:r>
          </w:p>
        </w:tc>
        <w:tc>
          <w:tcPr>
            <w:tcW w:w="1961" w:type="dxa"/>
            <w:noWrap w:val="0"/>
            <w:vAlign w:val="center"/>
          </w:tcPr>
          <w:p w14:paraId="1C72C11C">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封套上写明</w:t>
            </w:r>
          </w:p>
        </w:tc>
        <w:tc>
          <w:tcPr>
            <w:tcW w:w="5731" w:type="dxa"/>
            <w:noWrap w:val="0"/>
            <w:vAlign w:val="center"/>
          </w:tcPr>
          <w:p w14:paraId="0EDBE31E">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ascii="宋体" w:hAnsi="宋体" w:eastAsia="宋体" w:cs="宋体"/>
                <w:color w:val="000000" w:themeColor="text1"/>
                <w:sz w:val="24"/>
                <w:szCs w:val="24"/>
                <w14:textFill>
                  <w14:solidFill>
                    <w14:schemeClr w14:val="tx1"/>
                  </w14:solidFill>
                </w14:textFill>
              </w:rPr>
              <w:t>：</w:t>
            </w:r>
            <w:r>
              <w:rPr>
                <w:rFonts w:hint="eastAsia" w:cs="宋体"/>
                <w:color w:val="000000" w:themeColor="text1"/>
                <w:sz w:val="24"/>
                <w:szCs w:val="24"/>
                <w:lang w:eastAsia="zh-CN"/>
                <w14:textFill>
                  <w14:solidFill>
                    <w14:schemeClr w14:val="tx1"/>
                  </w14:solidFill>
                </w14:textFill>
              </w:rPr>
              <w:t>河南省人民医院豫东北医院消毒供应追溯系统配套硬件采购项目</w:t>
            </w:r>
            <w:r>
              <w:rPr>
                <w:rFonts w:hint="eastAsia" w:ascii="宋体" w:hAnsi="宋体" w:eastAsia="宋体" w:cs="宋体"/>
                <w:color w:val="000000" w:themeColor="text1"/>
                <w:sz w:val="24"/>
                <w:szCs w:val="24"/>
                <w14:textFill>
                  <w14:solidFill>
                    <w14:schemeClr w14:val="tx1"/>
                  </w14:solidFill>
                </w14:textFill>
              </w:rPr>
              <w:t>响应文件</w:t>
            </w:r>
          </w:p>
          <w:p w14:paraId="233DDDC8">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  年  月  日  时  分（磋商截止时间）前不得开启</w:t>
            </w:r>
          </w:p>
          <w:p w14:paraId="7EAD4097">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响应人名称地址、邮编、传真、联系电话、联系人。</w:t>
            </w:r>
          </w:p>
          <w:p w14:paraId="1BE2299E">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正、副本分开密封装在两个单独的密封袋中，封口处应有投标人法定代表人或其授权代表签字并加盖响应单位公章，且在密封袋上标明“正本”“副本”字样。</w:t>
            </w:r>
          </w:p>
        </w:tc>
      </w:tr>
      <w:tr w14:paraId="0F18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48" w:type="dxa"/>
            <w:noWrap w:val="0"/>
            <w:vAlign w:val="center"/>
          </w:tcPr>
          <w:p w14:paraId="6B4F3408">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4.2.2</w:t>
            </w:r>
          </w:p>
        </w:tc>
        <w:tc>
          <w:tcPr>
            <w:tcW w:w="1961" w:type="dxa"/>
            <w:noWrap w:val="0"/>
            <w:vAlign w:val="center"/>
          </w:tcPr>
          <w:p w14:paraId="79237335">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提交响应文件地点</w:t>
            </w:r>
          </w:p>
        </w:tc>
        <w:tc>
          <w:tcPr>
            <w:tcW w:w="5731" w:type="dxa"/>
            <w:noWrap w:val="0"/>
            <w:vAlign w:val="center"/>
          </w:tcPr>
          <w:p w14:paraId="4322E885">
            <w:pPr>
              <w:keepNext w:val="0"/>
              <w:keepLines w:val="0"/>
              <w:pageBreakBefore w:val="0"/>
              <w:widowControl w:val="0"/>
              <w:kinsoku/>
              <w:wordWrap/>
              <w:overflowPunct/>
              <w:bidi w:val="0"/>
              <w:adjustRightInd w:val="0"/>
              <w:spacing w:line="360" w:lineRule="auto"/>
              <w:ind w:firstLine="0" w:firstLineChars="0"/>
              <w:textAlignment w:val="baseline"/>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cs="宋体"/>
                <w:b/>
                <w:bCs/>
                <w:color w:val="000000" w:themeColor="text1"/>
                <w:sz w:val="24"/>
                <w:szCs w:val="24"/>
                <w:lang w:val="en-US" w:eastAsia="zh-CN"/>
                <w14:textFill>
                  <w14:solidFill>
                    <w14:schemeClr w14:val="tx1"/>
                  </w14:solidFill>
                </w14:textFill>
              </w:rPr>
              <w:t>豫东北医院行政楼三楼307会议室</w:t>
            </w:r>
          </w:p>
        </w:tc>
      </w:tr>
      <w:tr w14:paraId="11F8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48" w:type="dxa"/>
            <w:noWrap w:val="0"/>
            <w:vAlign w:val="center"/>
          </w:tcPr>
          <w:p w14:paraId="4B174866">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4.2.3</w:t>
            </w:r>
          </w:p>
        </w:tc>
        <w:tc>
          <w:tcPr>
            <w:tcW w:w="1961" w:type="dxa"/>
            <w:noWrap w:val="0"/>
            <w:vAlign w:val="center"/>
          </w:tcPr>
          <w:p w14:paraId="05EA2DC0">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是否退还响应文件</w:t>
            </w:r>
          </w:p>
        </w:tc>
        <w:tc>
          <w:tcPr>
            <w:tcW w:w="5731" w:type="dxa"/>
            <w:noWrap w:val="0"/>
            <w:vAlign w:val="center"/>
          </w:tcPr>
          <w:p w14:paraId="053E06BE">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p>
        </w:tc>
      </w:tr>
      <w:tr w14:paraId="7386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48" w:type="dxa"/>
            <w:noWrap w:val="0"/>
            <w:vAlign w:val="center"/>
          </w:tcPr>
          <w:p w14:paraId="68EAA9CE">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p>
        </w:tc>
        <w:tc>
          <w:tcPr>
            <w:tcW w:w="1961" w:type="dxa"/>
            <w:noWrap w:val="0"/>
            <w:vAlign w:val="center"/>
          </w:tcPr>
          <w:p w14:paraId="48F7E26D">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5731" w:type="dxa"/>
            <w:noWrap w:val="0"/>
            <w:vAlign w:val="center"/>
          </w:tcPr>
          <w:p w14:paraId="47E5111F">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磋商时间：同提交响应文件截止时间</w:t>
            </w:r>
          </w:p>
          <w:p w14:paraId="75670371">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磋商地点：同提交响应文件地点</w:t>
            </w:r>
          </w:p>
        </w:tc>
      </w:tr>
      <w:tr w14:paraId="5D8D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948" w:type="dxa"/>
            <w:noWrap w:val="0"/>
            <w:vAlign w:val="center"/>
          </w:tcPr>
          <w:p w14:paraId="7734A056">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w:t>
            </w:r>
          </w:p>
        </w:tc>
        <w:tc>
          <w:tcPr>
            <w:tcW w:w="1961" w:type="dxa"/>
            <w:noWrap w:val="0"/>
            <w:vAlign w:val="center"/>
          </w:tcPr>
          <w:p w14:paraId="752F2D33">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w:t>
            </w:r>
          </w:p>
        </w:tc>
        <w:tc>
          <w:tcPr>
            <w:tcW w:w="5731" w:type="dxa"/>
            <w:noWrap w:val="0"/>
            <w:vAlign w:val="center"/>
          </w:tcPr>
          <w:p w14:paraId="5D028ABA">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磋商小组构成：</w:t>
            </w:r>
            <w:r>
              <w:rPr>
                <w:rFonts w:hint="eastAsia" w:cs="宋体"/>
                <w:color w:val="000000" w:themeColor="text1"/>
                <w:sz w:val="24"/>
                <w:szCs w:val="24"/>
                <w:lang w:val="en-US" w:eastAsia="zh-CN"/>
                <w14:textFill>
                  <w14:solidFill>
                    <w14:schemeClr w14:val="tx1"/>
                  </w14:solidFill>
                </w14:textFill>
              </w:rPr>
              <w:t>5</w:t>
            </w:r>
            <w:bookmarkStart w:id="378" w:name="_GoBack"/>
            <w:bookmarkEnd w:id="378"/>
            <w:r>
              <w:rPr>
                <w:rFonts w:hint="eastAsia" w:ascii="宋体" w:hAnsi="宋体" w:eastAsia="宋体" w:cs="宋体"/>
                <w:color w:val="000000" w:themeColor="text1"/>
                <w:sz w:val="24"/>
                <w:szCs w:val="24"/>
                <w14:textFill>
                  <w14:solidFill>
                    <w14:schemeClr w14:val="tx1"/>
                  </w14:solidFill>
                </w14:textFill>
              </w:rPr>
              <w:t>人，由采购人组建的磋商小组负责</w:t>
            </w:r>
            <w:r>
              <w:rPr>
                <w:rFonts w:hint="eastAsia" w:ascii="宋体" w:hAnsi="宋体" w:eastAsia="宋体" w:cs="宋体"/>
                <w:color w:val="000000" w:themeColor="text1"/>
                <w:kern w:val="0"/>
                <w:sz w:val="24"/>
                <w:szCs w:val="24"/>
                <w14:textFill>
                  <w14:solidFill>
                    <w14:schemeClr w14:val="tx1"/>
                  </w14:solidFill>
                </w14:textFill>
              </w:rPr>
              <w:t>；</w:t>
            </w:r>
          </w:p>
        </w:tc>
      </w:tr>
      <w:tr w14:paraId="0DB1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48" w:type="dxa"/>
            <w:noWrap w:val="0"/>
            <w:vAlign w:val="center"/>
          </w:tcPr>
          <w:p w14:paraId="4CB37BCD">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p>
        </w:tc>
        <w:tc>
          <w:tcPr>
            <w:tcW w:w="1961" w:type="dxa"/>
            <w:noWrap w:val="0"/>
            <w:vAlign w:val="center"/>
          </w:tcPr>
          <w:p w14:paraId="168F6811">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是否授权磋商小组确定成交人</w:t>
            </w:r>
          </w:p>
        </w:tc>
        <w:tc>
          <w:tcPr>
            <w:tcW w:w="5731" w:type="dxa"/>
            <w:noWrap w:val="0"/>
            <w:vAlign w:val="center"/>
          </w:tcPr>
          <w:p w14:paraId="05F6CD80">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否，推荐的成交候选人数：3名</w:t>
            </w:r>
          </w:p>
        </w:tc>
      </w:tr>
      <w:tr w14:paraId="6F20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48" w:type="dxa"/>
            <w:noWrap w:val="0"/>
            <w:vAlign w:val="center"/>
          </w:tcPr>
          <w:p w14:paraId="3333B13C">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7692" w:type="dxa"/>
            <w:gridSpan w:val="2"/>
            <w:noWrap w:val="0"/>
            <w:vAlign w:val="center"/>
          </w:tcPr>
          <w:p w14:paraId="1956D104">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需要补充的其他内容</w:t>
            </w:r>
          </w:p>
        </w:tc>
      </w:tr>
      <w:tr w14:paraId="1BEB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40" w:type="dxa"/>
            <w:gridSpan w:val="3"/>
            <w:noWrap w:val="0"/>
            <w:vAlign w:val="center"/>
          </w:tcPr>
          <w:p w14:paraId="3F73E93F">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10.1最高磋商限价</w:t>
            </w:r>
          </w:p>
        </w:tc>
      </w:tr>
      <w:tr w14:paraId="2C50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48" w:type="dxa"/>
            <w:noWrap w:val="0"/>
            <w:vAlign w:val="center"/>
          </w:tcPr>
          <w:p w14:paraId="30735A4F">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p>
        </w:tc>
        <w:tc>
          <w:tcPr>
            <w:tcW w:w="1961" w:type="dxa"/>
            <w:noWrap w:val="0"/>
            <w:vAlign w:val="center"/>
          </w:tcPr>
          <w:p w14:paraId="7CAC4D2A">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最高磋商单价限价</w:t>
            </w:r>
          </w:p>
        </w:tc>
        <w:tc>
          <w:tcPr>
            <w:tcW w:w="5731" w:type="dxa"/>
            <w:noWrap w:val="0"/>
            <w:vAlign w:val="center"/>
          </w:tcPr>
          <w:p w14:paraId="6A448039">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无</w:t>
            </w:r>
          </w:p>
        </w:tc>
      </w:tr>
      <w:tr w14:paraId="6D80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640" w:type="dxa"/>
            <w:gridSpan w:val="3"/>
            <w:noWrap w:val="0"/>
            <w:vAlign w:val="center"/>
          </w:tcPr>
          <w:p w14:paraId="78EE17F0">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10.2“暗标”评审</w:t>
            </w:r>
          </w:p>
        </w:tc>
      </w:tr>
      <w:tr w14:paraId="59CD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48" w:type="dxa"/>
            <w:noWrap w:val="0"/>
            <w:vAlign w:val="center"/>
          </w:tcPr>
          <w:p w14:paraId="6A43027C">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p>
        </w:tc>
        <w:tc>
          <w:tcPr>
            <w:tcW w:w="1961" w:type="dxa"/>
            <w:noWrap w:val="0"/>
            <w:vAlign w:val="center"/>
          </w:tcPr>
          <w:p w14:paraId="2D6BD041">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是否采用“暗标”评审方式</w:t>
            </w:r>
          </w:p>
        </w:tc>
        <w:tc>
          <w:tcPr>
            <w:tcW w:w="5731" w:type="dxa"/>
            <w:noWrap w:val="0"/>
            <w:vAlign w:val="center"/>
          </w:tcPr>
          <w:p w14:paraId="6EFD4E3B">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不采用</w:t>
            </w:r>
          </w:p>
        </w:tc>
      </w:tr>
      <w:tr w14:paraId="65F5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640" w:type="dxa"/>
            <w:gridSpan w:val="3"/>
            <w:noWrap w:val="0"/>
            <w:vAlign w:val="center"/>
          </w:tcPr>
          <w:p w14:paraId="481FAEA0">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10.3解释权</w:t>
            </w:r>
          </w:p>
        </w:tc>
      </w:tr>
      <w:tr w14:paraId="6D53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48" w:type="dxa"/>
            <w:noWrap w:val="0"/>
            <w:vAlign w:val="center"/>
          </w:tcPr>
          <w:p w14:paraId="115E50E6">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p>
        </w:tc>
        <w:tc>
          <w:tcPr>
            <w:tcW w:w="7692" w:type="dxa"/>
            <w:gridSpan w:val="2"/>
            <w:noWrap w:val="0"/>
            <w:vAlign w:val="center"/>
          </w:tcPr>
          <w:p w14:paraId="4A36A5FF">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构成本竞争性磋商文件的各个组成文件应互为解释，互为说明；除竞争性磋商文件中有特别规定外，仅适用于磋商阶段的规定，按竞争性磋商邀请书、响应人须知、竞争性磋商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6696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640" w:type="dxa"/>
            <w:gridSpan w:val="3"/>
            <w:noWrap w:val="0"/>
            <w:vAlign w:val="center"/>
          </w:tcPr>
          <w:p w14:paraId="47264CC6">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10.4同义词语</w:t>
            </w:r>
          </w:p>
        </w:tc>
      </w:tr>
      <w:tr w14:paraId="763C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48" w:type="dxa"/>
            <w:noWrap w:val="0"/>
            <w:vAlign w:val="center"/>
          </w:tcPr>
          <w:p w14:paraId="2E056050">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p>
        </w:tc>
        <w:tc>
          <w:tcPr>
            <w:tcW w:w="7692" w:type="dxa"/>
            <w:gridSpan w:val="2"/>
            <w:noWrap w:val="0"/>
            <w:vAlign w:val="center"/>
          </w:tcPr>
          <w:p w14:paraId="6695FEB8">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构成竞争性磋商文件组成部分的“合同格式”等章节中出现的措辞“甲方”和“乙方”，在磋商阶段应当分别按“采购人”和“响应人”进行理解。</w:t>
            </w:r>
          </w:p>
        </w:tc>
      </w:tr>
      <w:tr w14:paraId="112B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640" w:type="dxa"/>
            <w:gridSpan w:val="3"/>
            <w:noWrap w:val="0"/>
            <w:vAlign w:val="center"/>
          </w:tcPr>
          <w:p w14:paraId="63C34DD4">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10.5采购人声明</w:t>
            </w:r>
          </w:p>
        </w:tc>
      </w:tr>
      <w:tr w14:paraId="0019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48" w:type="dxa"/>
            <w:noWrap w:val="0"/>
            <w:vAlign w:val="center"/>
          </w:tcPr>
          <w:p w14:paraId="28C590F3">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p>
        </w:tc>
        <w:tc>
          <w:tcPr>
            <w:tcW w:w="7692" w:type="dxa"/>
            <w:gridSpan w:val="2"/>
            <w:noWrap w:val="0"/>
            <w:vAlign w:val="center"/>
          </w:tcPr>
          <w:p w14:paraId="7555FA50">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响应人因参与磋商活动而涉及的人身伤害、财产损害、侵犯他人权益、仲裁或诉讼等，应当责任自负、费用自担，采购人免于承担上述责任或者其他不良影响。</w:t>
            </w:r>
          </w:p>
        </w:tc>
      </w:tr>
      <w:tr w14:paraId="3011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640" w:type="dxa"/>
            <w:gridSpan w:val="3"/>
            <w:noWrap w:val="0"/>
            <w:vAlign w:val="center"/>
          </w:tcPr>
          <w:p w14:paraId="27F42060">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10.6响应文件电子版</w:t>
            </w:r>
          </w:p>
        </w:tc>
      </w:tr>
      <w:tr w14:paraId="4750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948" w:type="dxa"/>
            <w:noWrap w:val="0"/>
            <w:vAlign w:val="center"/>
          </w:tcPr>
          <w:p w14:paraId="550CB2BB">
            <w:pPr>
              <w:keepNext w:val="0"/>
              <w:keepLines w:val="0"/>
              <w:pageBreakBefore w:val="0"/>
              <w:widowControl w:val="0"/>
              <w:kinsoku/>
              <w:wordWrap/>
              <w:overflowPunct/>
              <w:bidi w:val="0"/>
              <w:adjustRightInd w:val="0"/>
              <w:spacing w:line="360" w:lineRule="auto"/>
              <w:ind w:firstLine="0" w:firstLineChars="0"/>
              <w:jc w:val="center"/>
              <w:textAlignment w:val="baseline"/>
              <w:rPr>
                <w:rFonts w:hint="eastAsia" w:ascii="宋体" w:hAnsi="宋体" w:eastAsia="宋体" w:cs="宋体"/>
                <w:color w:val="000000" w:themeColor="text1"/>
                <w:sz w:val="24"/>
                <w:szCs w:val="24"/>
                <w14:textFill>
                  <w14:solidFill>
                    <w14:schemeClr w14:val="tx1"/>
                  </w14:solidFill>
                </w14:textFill>
              </w:rPr>
            </w:pPr>
          </w:p>
        </w:tc>
        <w:tc>
          <w:tcPr>
            <w:tcW w:w="7692" w:type="dxa"/>
            <w:gridSpan w:val="2"/>
            <w:noWrap w:val="0"/>
            <w:vAlign w:val="center"/>
          </w:tcPr>
          <w:p w14:paraId="141CED2F">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响应文件电子版内容：包含响应文件“正本”的所有内容</w:t>
            </w:r>
          </w:p>
          <w:p w14:paraId="2A5DF66C">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响应文件电子版份数：1份</w:t>
            </w:r>
          </w:p>
          <w:p w14:paraId="6E100CB3">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响应文件电子版形式：载体为U盘</w:t>
            </w:r>
          </w:p>
          <w:p w14:paraId="20B9F729">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响应文件电子版密封方式：单独放入一个密封袋中，并在封套封口处加盖响应人单位公章，在封套上标记“</w:t>
            </w:r>
            <w:r>
              <w:rPr>
                <w:rFonts w:hint="eastAsia" w:cs="宋体"/>
                <w:color w:val="000000" w:themeColor="text1"/>
                <w:sz w:val="24"/>
                <w:szCs w:val="24"/>
                <w:u w:val="single"/>
                <w:lang w:eastAsia="zh-CN"/>
                <w14:textFill>
                  <w14:solidFill>
                    <w14:schemeClr w14:val="tx1"/>
                  </w14:solidFill>
                </w14:textFill>
              </w:rPr>
              <w:t>河南省人民医院豫东北医院（</w:t>
            </w:r>
            <w:r>
              <w:rPr>
                <w:rFonts w:hint="eastAsia" w:cs="宋体"/>
                <w:color w:val="000000" w:themeColor="text1"/>
                <w:sz w:val="24"/>
                <w:szCs w:val="24"/>
                <w:u w:val="single"/>
                <w:lang w:val="en-US" w:eastAsia="zh-CN"/>
                <w14:textFill>
                  <w14:solidFill>
                    <w14:schemeClr w14:val="tx1"/>
                  </w14:solidFill>
                </w14:textFill>
              </w:rPr>
              <w:t>台前县新区人民医院</w:t>
            </w:r>
            <w:r>
              <w:rPr>
                <w:rFonts w:hint="eastAsia" w:cs="宋体"/>
                <w:color w:val="000000" w:themeColor="text1"/>
                <w:sz w:val="24"/>
                <w:szCs w:val="24"/>
                <w:u w:val="single"/>
                <w:lang w:eastAsia="zh-CN"/>
                <w14:textFill>
                  <w14:solidFill>
                    <w14:schemeClr w14:val="tx1"/>
                  </w14:solidFill>
                </w14:textFill>
              </w:rPr>
              <w:t>）消毒供应追溯系统配套硬件采购项目</w:t>
            </w:r>
            <w:r>
              <w:rPr>
                <w:rFonts w:hint="eastAsia" w:ascii="宋体" w:hAnsi="宋体" w:eastAsia="宋体" w:cs="宋体"/>
                <w:color w:val="000000" w:themeColor="text1"/>
                <w:sz w:val="24"/>
                <w:szCs w:val="24"/>
                <w14:textFill>
                  <w14:solidFill>
                    <w14:schemeClr w14:val="tx1"/>
                  </w14:solidFill>
                </w14:textFill>
              </w:rPr>
              <w:t>（项目名称）响应文件电子版在</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时</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分（磋商截止时间）前不得开启”字样</w:t>
            </w:r>
          </w:p>
          <w:p w14:paraId="10220CDF">
            <w:pPr>
              <w:keepNext w:val="0"/>
              <w:keepLines w:val="0"/>
              <w:pageBreakBefore w:val="0"/>
              <w:widowControl w:val="0"/>
              <w:kinsoku/>
              <w:wordWrap/>
              <w:overflowPunct/>
              <w:bidi w:val="0"/>
              <w:adjustRightInd w:val="0"/>
              <w:spacing w:line="360" w:lineRule="auto"/>
              <w:ind w:firstLine="0" w:firstLineChars="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注：响应文件电子版不予退还，不准加密，单独密封、单独递交。</w:t>
            </w:r>
          </w:p>
        </w:tc>
      </w:tr>
    </w:tbl>
    <w:p w14:paraId="7EC63B98">
      <w:r>
        <w:br w:type="page"/>
      </w:r>
    </w:p>
    <w:p w14:paraId="226B329F">
      <w:pPr>
        <w:pStyle w:val="3"/>
        <w:bidi w:val="0"/>
        <w:rPr>
          <w:rFonts w:hint="eastAsia"/>
        </w:rPr>
      </w:pPr>
      <w:bookmarkStart w:id="44" w:name="_Toc15182"/>
      <w:r>
        <w:rPr>
          <w:rFonts w:hint="eastAsia"/>
        </w:rPr>
        <w:t>1. 总则</w:t>
      </w:r>
      <w:bookmarkEnd w:id="44"/>
    </w:p>
    <w:p w14:paraId="129A901B">
      <w:pPr>
        <w:bidi w:val="0"/>
        <w:rPr>
          <w:rFonts w:hint="eastAsia"/>
          <w:sz w:val="24"/>
          <w:szCs w:val="22"/>
        </w:rPr>
      </w:pPr>
      <w:bookmarkStart w:id="45" w:name="_Toc12330"/>
      <w:bookmarkStart w:id="46" w:name="_Toc495424838"/>
      <w:bookmarkStart w:id="47" w:name="_Toc495424105"/>
      <w:bookmarkStart w:id="48" w:name="_Toc495425044"/>
      <w:r>
        <w:rPr>
          <w:rFonts w:hint="eastAsia"/>
          <w:sz w:val="24"/>
          <w:szCs w:val="22"/>
        </w:rPr>
        <w:t>1.1 适用范围</w:t>
      </w:r>
      <w:bookmarkEnd w:id="45"/>
      <w:bookmarkEnd w:id="46"/>
      <w:bookmarkEnd w:id="47"/>
      <w:bookmarkEnd w:id="48"/>
    </w:p>
    <w:p w14:paraId="3244C49A">
      <w:pPr>
        <w:bidi w:val="0"/>
        <w:rPr>
          <w:rFonts w:hint="eastAsia"/>
          <w:sz w:val="24"/>
          <w:szCs w:val="22"/>
        </w:rPr>
      </w:pPr>
      <w:r>
        <w:rPr>
          <w:rFonts w:hint="eastAsia"/>
          <w:sz w:val="24"/>
          <w:szCs w:val="22"/>
        </w:rPr>
        <w:t>1.1.1 根据有关法律、法规和规章的规定，编制本项目磋商文件。</w:t>
      </w:r>
    </w:p>
    <w:p w14:paraId="5F964CC7">
      <w:pPr>
        <w:bidi w:val="0"/>
        <w:rPr>
          <w:rFonts w:hint="eastAsia"/>
          <w:sz w:val="24"/>
          <w:szCs w:val="22"/>
        </w:rPr>
      </w:pPr>
      <w:bookmarkStart w:id="49" w:name="_Toc495424839"/>
      <w:bookmarkStart w:id="50" w:name="_Toc495425045"/>
      <w:bookmarkStart w:id="51" w:name="_Toc495424106"/>
      <w:bookmarkStart w:id="52" w:name="_Toc44"/>
      <w:r>
        <w:rPr>
          <w:rFonts w:hint="eastAsia"/>
          <w:sz w:val="24"/>
          <w:szCs w:val="22"/>
        </w:rPr>
        <w:t>1.2 采购项目说明</w:t>
      </w:r>
      <w:bookmarkEnd w:id="49"/>
      <w:bookmarkEnd w:id="50"/>
      <w:bookmarkEnd w:id="51"/>
      <w:bookmarkEnd w:id="52"/>
    </w:p>
    <w:p w14:paraId="1BC1DAF9">
      <w:pPr>
        <w:bidi w:val="0"/>
        <w:rPr>
          <w:rFonts w:hint="eastAsia"/>
          <w:sz w:val="24"/>
          <w:szCs w:val="22"/>
        </w:rPr>
      </w:pPr>
      <w:r>
        <w:rPr>
          <w:rFonts w:hint="eastAsia"/>
          <w:sz w:val="24"/>
          <w:szCs w:val="22"/>
        </w:rPr>
        <w:t>1.2.1 本项目采购人：见响应人须知前附表。</w:t>
      </w:r>
    </w:p>
    <w:p w14:paraId="49E99183">
      <w:pPr>
        <w:bidi w:val="0"/>
        <w:rPr>
          <w:rFonts w:hint="eastAsia"/>
          <w:sz w:val="24"/>
          <w:szCs w:val="22"/>
        </w:rPr>
      </w:pPr>
      <w:r>
        <w:rPr>
          <w:rFonts w:hint="eastAsia"/>
          <w:sz w:val="24"/>
          <w:szCs w:val="22"/>
        </w:rPr>
        <w:t>1.2.3 本项目名称：见响应人须知前附表。</w:t>
      </w:r>
    </w:p>
    <w:p w14:paraId="56D901B6">
      <w:pPr>
        <w:bidi w:val="0"/>
        <w:rPr>
          <w:rFonts w:hint="eastAsia"/>
          <w:sz w:val="24"/>
          <w:szCs w:val="22"/>
        </w:rPr>
      </w:pPr>
      <w:bookmarkStart w:id="53" w:name="_Toc495424840"/>
      <w:bookmarkStart w:id="54" w:name="_Toc495424107"/>
      <w:bookmarkStart w:id="55" w:name="_Toc11860"/>
      <w:bookmarkStart w:id="56" w:name="_Toc495425046"/>
      <w:r>
        <w:rPr>
          <w:rFonts w:hint="eastAsia"/>
          <w:sz w:val="24"/>
          <w:szCs w:val="22"/>
        </w:rPr>
        <w:t>1.3 定义及解释</w:t>
      </w:r>
      <w:bookmarkEnd w:id="53"/>
      <w:bookmarkEnd w:id="54"/>
      <w:bookmarkEnd w:id="55"/>
      <w:bookmarkEnd w:id="56"/>
    </w:p>
    <w:p w14:paraId="6F7D2FE9">
      <w:pPr>
        <w:bidi w:val="0"/>
        <w:rPr>
          <w:rFonts w:hint="eastAsia"/>
          <w:sz w:val="24"/>
          <w:szCs w:val="22"/>
        </w:rPr>
      </w:pPr>
      <w:r>
        <w:rPr>
          <w:rFonts w:hint="eastAsia"/>
          <w:sz w:val="24"/>
          <w:szCs w:val="22"/>
        </w:rPr>
        <w:t>1.3.1 采购人：依法进行采购的国家机关、事业单位、团体组织。</w:t>
      </w:r>
    </w:p>
    <w:p w14:paraId="07DA1B0A">
      <w:pPr>
        <w:bidi w:val="0"/>
        <w:rPr>
          <w:rFonts w:hint="eastAsia"/>
          <w:sz w:val="24"/>
          <w:szCs w:val="22"/>
        </w:rPr>
      </w:pPr>
      <w:r>
        <w:rPr>
          <w:rFonts w:hint="eastAsia"/>
          <w:sz w:val="24"/>
          <w:szCs w:val="22"/>
        </w:rPr>
        <w:t>1.3.3 服务：系指根据本磋商文件规定响应人须承担的服务以及其他类似的义务等。</w:t>
      </w:r>
    </w:p>
    <w:p w14:paraId="1BBEAD55">
      <w:pPr>
        <w:bidi w:val="0"/>
        <w:rPr>
          <w:rFonts w:hint="eastAsia"/>
          <w:sz w:val="24"/>
          <w:szCs w:val="22"/>
        </w:rPr>
      </w:pPr>
      <w:r>
        <w:rPr>
          <w:rFonts w:hint="eastAsia"/>
          <w:sz w:val="24"/>
          <w:szCs w:val="22"/>
        </w:rPr>
        <w:t>1.3.4 响应人：响应人是响应磋商文件、参加磋商竞争的中华人民共和国境内的法人、其它组织。</w:t>
      </w:r>
    </w:p>
    <w:p w14:paraId="1B9515C0">
      <w:pPr>
        <w:bidi w:val="0"/>
        <w:rPr>
          <w:rFonts w:hint="eastAsia"/>
          <w:sz w:val="24"/>
          <w:szCs w:val="22"/>
        </w:rPr>
      </w:pPr>
      <w:r>
        <w:rPr>
          <w:rFonts w:hint="eastAsia"/>
          <w:sz w:val="24"/>
          <w:szCs w:val="22"/>
        </w:rPr>
        <w:t>1.3.5 响应文件：指响应人根据磋商文件提交的所有文件。</w:t>
      </w:r>
    </w:p>
    <w:p w14:paraId="7BADAB7E">
      <w:pPr>
        <w:bidi w:val="0"/>
        <w:rPr>
          <w:rFonts w:hint="eastAsia"/>
          <w:sz w:val="24"/>
          <w:szCs w:val="22"/>
        </w:rPr>
      </w:pPr>
      <w:r>
        <w:rPr>
          <w:rFonts w:hint="eastAsia"/>
          <w:sz w:val="24"/>
          <w:szCs w:val="22"/>
        </w:rPr>
        <w:t>1.3.6 磋商小组：依据有关法律、法规的规定依法组建的专门负责本次磋商工作的临时机构。</w:t>
      </w:r>
    </w:p>
    <w:p w14:paraId="4293727E">
      <w:pPr>
        <w:bidi w:val="0"/>
        <w:rPr>
          <w:rFonts w:hint="eastAsia"/>
          <w:sz w:val="24"/>
          <w:szCs w:val="22"/>
        </w:rPr>
      </w:pPr>
      <w:r>
        <w:rPr>
          <w:rFonts w:hint="eastAsia"/>
          <w:sz w:val="24"/>
          <w:szCs w:val="22"/>
        </w:rPr>
        <w:t>1.3.7 偏离：响应文件的响应相对于磋商文件要求的偏差，该偏差优于磋商文件要求的为正偏离；劣于的，为负偏离。</w:t>
      </w:r>
    </w:p>
    <w:p w14:paraId="58565F4F">
      <w:pPr>
        <w:bidi w:val="0"/>
        <w:rPr>
          <w:rFonts w:hint="eastAsia"/>
          <w:sz w:val="24"/>
          <w:szCs w:val="22"/>
        </w:rPr>
      </w:pPr>
      <w:r>
        <w:rPr>
          <w:rFonts w:hint="eastAsia"/>
          <w:sz w:val="24"/>
          <w:szCs w:val="22"/>
        </w:rPr>
        <w:t>1.3.8“日期”或“天”：指日历天。</w:t>
      </w:r>
    </w:p>
    <w:p w14:paraId="606FF005">
      <w:pPr>
        <w:bidi w:val="0"/>
        <w:rPr>
          <w:rFonts w:hint="eastAsia"/>
          <w:sz w:val="24"/>
          <w:szCs w:val="22"/>
        </w:rPr>
      </w:pPr>
      <w:r>
        <w:rPr>
          <w:rFonts w:hint="eastAsia"/>
          <w:sz w:val="24"/>
          <w:szCs w:val="22"/>
        </w:rPr>
        <w:t>1.3.9 合同：指依据本次服务采购招标结果签订的协议或合约文件。</w:t>
      </w:r>
    </w:p>
    <w:p w14:paraId="78DEABC1">
      <w:pPr>
        <w:bidi w:val="0"/>
        <w:rPr>
          <w:rFonts w:hint="eastAsia"/>
          <w:sz w:val="24"/>
          <w:szCs w:val="22"/>
        </w:rPr>
      </w:pPr>
      <w:r>
        <w:rPr>
          <w:rFonts w:hint="eastAsia"/>
          <w:sz w:val="24"/>
          <w:szCs w:val="22"/>
        </w:rPr>
        <w:t>1.3.10 磋商文件中的标题或题名仅起引导作用，而不应视为对磋商文件内容的理解和解释。</w:t>
      </w:r>
    </w:p>
    <w:p w14:paraId="3B283AB2">
      <w:pPr>
        <w:bidi w:val="0"/>
        <w:rPr>
          <w:rFonts w:hint="eastAsia"/>
          <w:sz w:val="24"/>
          <w:szCs w:val="22"/>
        </w:rPr>
      </w:pPr>
      <w:bookmarkStart w:id="57" w:name="_Toc495425047"/>
      <w:bookmarkStart w:id="58" w:name="_Toc495424108"/>
      <w:bookmarkStart w:id="59" w:name="_Toc495424841"/>
      <w:bookmarkStart w:id="60" w:name="_Toc27719"/>
      <w:r>
        <w:rPr>
          <w:rFonts w:hint="eastAsia"/>
          <w:sz w:val="24"/>
          <w:szCs w:val="22"/>
        </w:rPr>
        <w:t>1.4 磋商范围、标包划分、服务时限和</w:t>
      </w:r>
      <w:bookmarkEnd w:id="57"/>
      <w:bookmarkEnd w:id="58"/>
      <w:bookmarkEnd w:id="59"/>
      <w:r>
        <w:rPr>
          <w:rFonts w:hint="eastAsia"/>
          <w:sz w:val="24"/>
          <w:szCs w:val="22"/>
        </w:rPr>
        <w:t>服务质量、服务地点、中标响应人数量</w:t>
      </w:r>
      <w:bookmarkEnd w:id="60"/>
    </w:p>
    <w:p w14:paraId="722EDF49">
      <w:pPr>
        <w:bidi w:val="0"/>
        <w:rPr>
          <w:rFonts w:hint="eastAsia"/>
          <w:sz w:val="24"/>
          <w:szCs w:val="22"/>
        </w:rPr>
      </w:pPr>
      <w:r>
        <w:rPr>
          <w:rFonts w:hint="eastAsia"/>
          <w:sz w:val="24"/>
          <w:szCs w:val="22"/>
        </w:rPr>
        <w:t>1.4.1 本次磋商范围：见响应人须知前附表。</w:t>
      </w:r>
    </w:p>
    <w:p w14:paraId="2AA18438">
      <w:pPr>
        <w:bidi w:val="0"/>
        <w:rPr>
          <w:rFonts w:hint="eastAsia"/>
          <w:sz w:val="24"/>
          <w:szCs w:val="22"/>
        </w:rPr>
      </w:pPr>
      <w:r>
        <w:rPr>
          <w:rFonts w:hint="eastAsia"/>
          <w:sz w:val="24"/>
          <w:szCs w:val="22"/>
        </w:rPr>
        <w:t>1.4.2本项目的标包划分：见响应人须知前附表。</w:t>
      </w:r>
    </w:p>
    <w:p w14:paraId="004FB830">
      <w:pPr>
        <w:bidi w:val="0"/>
        <w:rPr>
          <w:rFonts w:hint="eastAsia"/>
          <w:sz w:val="24"/>
          <w:szCs w:val="22"/>
        </w:rPr>
      </w:pPr>
      <w:r>
        <w:rPr>
          <w:rFonts w:hint="eastAsia"/>
          <w:sz w:val="24"/>
          <w:szCs w:val="22"/>
        </w:rPr>
        <w:t>1.4.3 本项目的服务期：见响应人须知前附表。</w:t>
      </w:r>
    </w:p>
    <w:p w14:paraId="111534E9">
      <w:pPr>
        <w:bidi w:val="0"/>
        <w:rPr>
          <w:rFonts w:hint="eastAsia"/>
          <w:sz w:val="24"/>
          <w:szCs w:val="22"/>
        </w:rPr>
      </w:pPr>
      <w:r>
        <w:rPr>
          <w:rFonts w:hint="eastAsia"/>
          <w:sz w:val="24"/>
          <w:szCs w:val="22"/>
        </w:rPr>
        <w:t>1.4.4 本项目的质量保证期：见响应人须知前附表。</w:t>
      </w:r>
    </w:p>
    <w:p w14:paraId="17AE33B0">
      <w:pPr>
        <w:bidi w:val="0"/>
        <w:rPr>
          <w:rFonts w:hint="eastAsia"/>
          <w:sz w:val="24"/>
          <w:szCs w:val="22"/>
        </w:rPr>
      </w:pPr>
      <w:r>
        <w:rPr>
          <w:rFonts w:hint="eastAsia"/>
          <w:sz w:val="24"/>
          <w:szCs w:val="22"/>
        </w:rPr>
        <w:t>1.4.</w:t>
      </w:r>
      <w:r>
        <w:rPr>
          <w:rFonts w:hint="eastAsia"/>
          <w:sz w:val="24"/>
          <w:szCs w:val="22"/>
          <w:lang w:val="en-US" w:eastAsia="zh-CN"/>
        </w:rPr>
        <w:t>5</w:t>
      </w:r>
      <w:r>
        <w:rPr>
          <w:rFonts w:hint="eastAsia"/>
          <w:sz w:val="24"/>
          <w:szCs w:val="22"/>
        </w:rPr>
        <w:t xml:space="preserve"> 本项目的成交人数量：见响应人须知前附表。</w:t>
      </w:r>
    </w:p>
    <w:p w14:paraId="59870D99">
      <w:pPr>
        <w:bidi w:val="0"/>
        <w:rPr>
          <w:rFonts w:hint="eastAsia"/>
          <w:sz w:val="24"/>
          <w:szCs w:val="22"/>
        </w:rPr>
      </w:pPr>
      <w:bookmarkStart w:id="61" w:name="_Toc495425048"/>
      <w:bookmarkStart w:id="62" w:name="_Toc495424842"/>
      <w:bookmarkStart w:id="63" w:name="_Toc495424109"/>
      <w:bookmarkStart w:id="64" w:name="_Toc12377"/>
      <w:r>
        <w:rPr>
          <w:rFonts w:hint="eastAsia"/>
          <w:sz w:val="24"/>
          <w:szCs w:val="22"/>
        </w:rPr>
        <w:t xml:space="preserve">1.5 </w:t>
      </w:r>
      <w:bookmarkEnd w:id="61"/>
      <w:bookmarkEnd w:id="62"/>
      <w:bookmarkEnd w:id="63"/>
      <w:r>
        <w:rPr>
          <w:rFonts w:hint="eastAsia"/>
          <w:sz w:val="24"/>
          <w:szCs w:val="22"/>
        </w:rPr>
        <w:t>响应人资格要求</w:t>
      </w:r>
      <w:bookmarkEnd w:id="64"/>
    </w:p>
    <w:p w14:paraId="479BDC5E">
      <w:pPr>
        <w:bidi w:val="0"/>
        <w:rPr>
          <w:rFonts w:hint="eastAsia"/>
          <w:sz w:val="24"/>
          <w:szCs w:val="22"/>
        </w:rPr>
      </w:pPr>
      <w:r>
        <w:rPr>
          <w:rFonts w:hint="eastAsia"/>
          <w:sz w:val="24"/>
          <w:szCs w:val="22"/>
        </w:rPr>
        <w:t>1.5.1 响应人资格要求：见响应人须知前附表。</w:t>
      </w:r>
    </w:p>
    <w:p w14:paraId="10622662">
      <w:pPr>
        <w:bidi w:val="0"/>
        <w:rPr>
          <w:rFonts w:hint="eastAsia"/>
          <w:sz w:val="24"/>
          <w:szCs w:val="22"/>
        </w:rPr>
      </w:pPr>
      <w:r>
        <w:rPr>
          <w:rFonts w:hint="eastAsia"/>
          <w:sz w:val="24"/>
          <w:szCs w:val="22"/>
        </w:rPr>
        <w:t>1.5.2 是否接受联合体：见响应人须知前附表。</w:t>
      </w:r>
    </w:p>
    <w:p w14:paraId="14A4B7C2">
      <w:pPr>
        <w:bidi w:val="0"/>
        <w:rPr>
          <w:rFonts w:hint="eastAsia"/>
          <w:sz w:val="24"/>
          <w:szCs w:val="22"/>
        </w:rPr>
      </w:pPr>
      <w:bookmarkStart w:id="65" w:name="_Toc495424843"/>
      <w:bookmarkStart w:id="66" w:name="_Toc9425"/>
      <w:bookmarkStart w:id="67" w:name="_Toc495424110"/>
      <w:bookmarkStart w:id="68" w:name="_Toc495425049"/>
      <w:r>
        <w:rPr>
          <w:rFonts w:hint="eastAsia"/>
          <w:sz w:val="24"/>
          <w:szCs w:val="22"/>
        </w:rPr>
        <w:t>1.6 费用承担</w:t>
      </w:r>
      <w:bookmarkEnd w:id="65"/>
      <w:bookmarkEnd w:id="66"/>
      <w:bookmarkEnd w:id="67"/>
      <w:bookmarkEnd w:id="68"/>
    </w:p>
    <w:p w14:paraId="2BC6D67E">
      <w:pPr>
        <w:bidi w:val="0"/>
        <w:rPr>
          <w:rFonts w:hint="eastAsia"/>
          <w:sz w:val="24"/>
          <w:szCs w:val="22"/>
        </w:rPr>
      </w:pPr>
      <w:r>
        <w:rPr>
          <w:rFonts w:hint="eastAsia"/>
          <w:sz w:val="24"/>
          <w:szCs w:val="22"/>
        </w:rPr>
        <w:t>响应人准备和参加磋商活动发生的费用自理，不论磋商的结果如何，采购人在任何情况下均无义务和责任承担这些费用。</w:t>
      </w:r>
    </w:p>
    <w:p w14:paraId="7B411C2A">
      <w:pPr>
        <w:bidi w:val="0"/>
        <w:rPr>
          <w:rFonts w:hint="eastAsia"/>
          <w:sz w:val="24"/>
          <w:szCs w:val="22"/>
        </w:rPr>
      </w:pPr>
      <w:bookmarkStart w:id="69" w:name="_Toc495424111"/>
      <w:bookmarkStart w:id="70" w:name="_Toc5652"/>
      <w:bookmarkStart w:id="71" w:name="_Toc495425050"/>
      <w:bookmarkStart w:id="72" w:name="_Toc495424844"/>
      <w:r>
        <w:rPr>
          <w:rFonts w:hint="eastAsia"/>
          <w:sz w:val="24"/>
          <w:szCs w:val="22"/>
        </w:rPr>
        <w:t>1.7 保密</w:t>
      </w:r>
      <w:bookmarkEnd w:id="69"/>
      <w:bookmarkEnd w:id="70"/>
      <w:bookmarkEnd w:id="71"/>
      <w:bookmarkEnd w:id="72"/>
    </w:p>
    <w:p w14:paraId="270EB811">
      <w:pPr>
        <w:bidi w:val="0"/>
        <w:rPr>
          <w:rFonts w:hint="eastAsia"/>
          <w:sz w:val="24"/>
          <w:szCs w:val="22"/>
        </w:rPr>
      </w:pPr>
      <w:r>
        <w:rPr>
          <w:rFonts w:hint="eastAsia"/>
          <w:sz w:val="24"/>
          <w:szCs w:val="22"/>
        </w:rPr>
        <w:t>参与磋商活动的各方应对磋商文件和响应文件中的商业和技术等秘密保密，违者应对由此造成的后果承担法律责任。</w:t>
      </w:r>
    </w:p>
    <w:p w14:paraId="039FE1CD">
      <w:pPr>
        <w:bidi w:val="0"/>
        <w:rPr>
          <w:rFonts w:hint="eastAsia"/>
          <w:sz w:val="24"/>
          <w:szCs w:val="22"/>
        </w:rPr>
      </w:pPr>
      <w:bookmarkStart w:id="73" w:name="_Toc495424845"/>
      <w:bookmarkStart w:id="74" w:name="_Toc25658"/>
      <w:bookmarkStart w:id="75" w:name="_Toc495425051"/>
      <w:bookmarkStart w:id="76" w:name="_Toc495424112"/>
      <w:r>
        <w:rPr>
          <w:rFonts w:hint="eastAsia"/>
          <w:sz w:val="24"/>
          <w:szCs w:val="22"/>
        </w:rPr>
        <w:t>1.8 语言文字</w:t>
      </w:r>
      <w:bookmarkEnd w:id="73"/>
      <w:bookmarkEnd w:id="74"/>
      <w:bookmarkEnd w:id="75"/>
      <w:bookmarkEnd w:id="76"/>
    </w:p>
    <w:p w14:paraId="23C56083">
      <w:pPr>
        <w:bidi w:val="0"/>
        <w:rPr>
          <w:rFonts w:hint="eastAsia"/>
          <w:sz w:val="24"/>
          <w:szCs w:val="22"/>
        </w:rPr>
      </w:pPr>
      <w:r>
        <w:rPr>
          <w:rFonts w:hint="eastAsia"/>
          <w:sz w:val="24"/>
          <w:szCs w:val="22"/>
        </w:rPr>
        <w:t>除专用术语外，与磋商有关的语言均使用中文。必要时专用术语应附有中文注释，对不同文字文本响应文件的解释发生异议的，以中文文本为准。</w:t>
      </w:r>
    </w:p>
    <w:p w14:paraId="0B1DBDC5">
      <w:pPr>
        <w:bidi w:val="0"/>
        <w:rPr>
          <w:rFonts w:hint="eastAsia"/>
          <w:sz w:val="24"/>
          <w:szCs w:val="22"/>
        </w:rPr>
      </w:pPr>
      <w:bookmarkStart w:id="77" w:name="_Toc495424846"/>
      <w:bookmarkStart w:id="78" w:name="_Toc495424113"/>
      <w:bookmarkStart w:id="79" w:name="_Toc10792"/>
      <w:bookmarkStart w:id="80" w:name="_Toc495425052"/>
      <w:r>
        <w:rPr>
          <w:rFonts w:hint="eastAsia"/>
          <w:sz w:val="24"/>
          <w:szCs w:val="22"/>
        </w:rPr>
        <w:t>1.9 计量单位</w:t>
      </w:r>
      <w:bookmarkEnd w:id="77"/>
      <w:bookmarkEnd w:id="78"/>
      <w:bookmarkEnd w:id="79"/>
      <w:bookmarkEnd w:id="80"/>
    </w:p>
    <w:p w14:paraId="712F5A23">
      <w:pPr>
        <w:bidi w:val="0"/>
        <w:rPr>
          <w:rFonts w:hint="eastAsia"/>
          <w:sz w:val="24"/>
          <w:szCs w:val="22"/>
        </w:rPr>
      </w:pPr>
      <w:r>
        <w:rPr>
          <w:rFonts w:hint="eastAsia"/>
          <w:sz w:val="24"/>
          <w:szCs w:val="22"/>
        </w:rPr>
        <w:t>所有计量均采用中华人民共和国法定计量单位。</w:t>
      </w:r>
    </w:p>
    <w:p w14:paraId="491F60D3">
      <w:pPr>
        <w:bidi w:val="0"/>
        <w:rPr>
          <w:rFonts w:hint="eastAsia"/>
          <w:sz w:val="24"/>
          <w:szCs w:val="22"/>
        </w:rPr>
      </w:pPr>
      <w:bookmarkStart w:id="81" w:name="_Toc495425053"/>
      <w:bookmarkStart w:id="82" w:name="_Toc495424847"/>
      <w:bookmarkStart w:id="83" w:name="_Toc17579"/>
      <w:bookmarkStart w:id="84" w:name="_Toc495424114"/>
      <w:r>
        <w:rPr>
          <w:rFonts w:hint="eastAsia"/>
          <w:sz w:val="24"/>
          <w:szCs w:val="22"/>
        </w:rPr>
        <w:t>1.10 预备会</w:t>
      </w:r>
      <w:bookmarkEnd w:id="81"/>
      <w:bookmarkEnd w:id="82"/>
      <w:bookmarkEnd w:id="83"/>
      <w:bookmarkEnd w:id="84"/>
    </w:p>
    <w:p w14:paraId="0B894F2D">
      <w:pPr>
        <w:bidi w:val="0"/>
        <w:rPr>
          <w:rFonts w:hint="eastAsia"/>
          <w:sz w:val="24"/>
          <w:szCs w:val="22"/>
        </w:rPr>
      </w:pPr>
      <w:r>
        <w:rPr>
          <w:rFonts w:hint="eastAsia"/>
          <w:sz w:val="24"/>
          <w:szCs w:val="22"/>
        </w:rPr>
        <w:t>1.10.1 响应人须知前附表规定召开磋商预备会的，采购人按响应人须知前附表规定的时间和地点召开磋商预备会，澄清响应人提出的问题。</w:t>
      </w:r>
    </w:p>
    <w:p w14:paraId="7CDE5150">
      <w:pPr>
        <w:bidi w:val="0"/>
        <w:rPr>
          <w:rFonts w:hint="eastAsia"/>
          <w:sz w:val="24"/>
          <w:szCs w:val="22"/>
        </w:rPr>
      </w:pPr>
      <w:r>
        <w:rPr>
          <w:rFonts w:hint="eastAsia"/>
          <w:sz w:val="24"/>
          <w:szCs w:val="22"/>
        </w:rPr>
        <w:t>1.10.2 响应人应在响应人须知前附表规定的时间前，以书面形式将提出的问题送达采购人，以便采购人在会议期间澄清。</w:t>
      </w:r>
    </w:p>
    <w:p w14:paraId="538B0A93">
      <w:pPr>
        <w:bidi w:val="0"/>
        <w:rPr>
          <w:rFonts w:hint="eastAsia"/>
          <w:sz w:val="24"/>
          <w:szCs w:val="22"/>
        </w:rPr>
      </w:pPr>
      <w:r>
        <w:rPr>
          <w:rFonts w:hint="eastAsia"/>
          <w:sz w:val="24"/>
          <w:szCs w:val="22"/>
        </w:rPr>
        <w:t>1.10.3 磋商预备会后，采购人在响应人须知前附表规定的时间内，将对响应人所提问题的澄清，以书面方式通知所有购买磋商文件的响应人。该澄清内容为磋商文件的组成部分。</w:t>
      </w:r>
    </w:p>
    <w:p w14:paraId="6478CD5F">
      <w:pPr>
        <w:bidi w:val="0"/>
        <w:rPr>
          <w:rFonts w:hint="eastAsia"/>
          <w:sz w:val="24"/>
          <w:szCs w:val="22"/>
        </w:rPr>
      </w:pPr>
      <w:bookmarkStart w:id="85" w:name="_Toc30697"/>
      <w:bookmarkStart w:id="86" w:name="_Toc495424848"/>
      <w:bookmarkStart w:id="87" w:name="_Toc495425054"/>
      <w:bookmarkStart w:id="88" w:name="_Toc495424115"/>
      <w:r>
        <w:rPr>
          <w:rFonts w:hint="eastAsia"/>
          <w:sz w:val="24"/>
          <w:szCs w:val="22"/>
        </w:rPr>
        <w:t>1.11 分包</w:t>
      </w:r>
      <w:bookmarkEnd w:id="85"/>
      <w:bookmarkEnd w:id="86"/>
      <w:bookmarkEnd w:id="87"/>
      <w:bookmarkEnd w:id="88"/>
    </w:p>
    <w:p w14:paraId="3A0E3B48">
      <w:pPr>
        <w:bidi w:val="0"/>
        <w:rPr>
          <w:rFonts w:hint="eastAsia"/>
          <w:sz w:val="24"/>
          <w:szCs w:val="22"/>
        </w:rPr>
      </w:pPr>
      <w:r>
        <w:rPr>
          <w:rFonts w:hint="eastAsia"/>
          <w:sz w:val="24"/>
          <w:szCs w:val="22"/>
        </w:rPr>
        <w:t>是否允许分包：见响应人须知前附表。</w:t>
      </w:r>
    </w:p>
    <w:p w14:paraId="2AB20F4E">
      <w:pPr>
        <w:pStyle w:val="3"/>
        <w:bidi w:val="0"/>
        <w:rPr>
          <w:rFonts w:hint="eastAsia"/>
        </w:rPr>
      </w:pPr>
      <w:bookmarkStart w:id="89" w:name="_Toc495424116"/>
      <w:bookmarkStart w:id="90" w:name="_Toc20533"/>
      <w:bookmarkStart w:id="91" w:name="_Toc495424849"/>
      <w:bookmarkStart w:id="92" w:name="_Toc495425055"/>
      <w:r>
        <w:rPr>
          <w:rFonts w:hint="eastAsia"/>
        </w:rPr>
        <w:t>2. 磋商文件</w:t>
      </w:r>
      <w:bookmarkEnd w:id="89"/>
      <w:bookmarkEnd w:id="90"/>
      <w:bookmarkEnd w:id="91"/>
      <w:bookmarkEnd w:id="92"/>
    </w:p>
    <w:p w14:paraId="497A32ED">
      <w:pPr>
        <w:bidi w:val="0"/>
        <w:rPr>
          <w:rFonts w:hint="eastAsia"/>
          <w:sz w:val="24"/>
          <w:szCs w:val="22"/>
        </w:rPr>
      </w:pPr>
      <w:bookmarkStart w:id="93" w:name="_Toc495425056"/>
      <w:bookmarkStart w:id="94" w:name="_Toc19821"/>
      <w:bookmarkStart w:id="95" w:name="_Toc495424117"/>
      <w:bookmarkStart w:id="96" w:name="_Toc495424850"/>
      <w:r>
        <w:rPr>
          <w:rFonts w:hint="eastAsia"/>
          <w:sz w:val="24"/>
          <w:szCs w:val="22"/>
        </w:rPr>
        <w:t>2.1 磋商文件的组成</w:t>
      </w:r>
      <w:bookmarkEnd w:id="93"/>
      <w:bookmarkEnd w:id="94"/>
      <w:bookmarkEnd w:id="95"/>
      <w:bookmarkEnd w:id="96"/>
    </w:p>
    <w:p w14:paraId="6D591BE6">
      <w:pPr>
        <w:bidi w:val="0"/>
        <w:rPr>
          <w:rFonts w:hint="eastAsia"/>
          <w:sz w:val="24"/>
          <w:szCs w:val="22"/>
        </w:rPr>
      </w:pPr>
      <w:r>
        <w:rPr>
          <w:rFonts w:hint="eastAsia"/>
          <w:sz w:val="24"/>
          <w:szCs w:val="22"/>
        </w:rPr>
        <w:t>本磋商文件包括：</w:t>
      </w:r>
    </w:p>
    <w:p w14:paraId="3730432E">
      <w:pPr>
        <w:bidi w:val="0"/>
        <w:rPr>
          <w:rFonts w:hint="eastAsia"/>
          <w:sz w:val="24"/>
          <w:szCs w:val="22"/>
        </w:rPr>
      </w:pPr>
      <w:r>
        <w:rPr>
          <w:rFonts w:hint="eastAsia"/>
          <w:sz w:val="24"/>
          <w:szCs w:val="22"/>
        </w:rPr>
        <w:t>（1）磋商公告；</w:t>
      </w:r>
    </w:p>
    <w:p w14:paraId="798C643B">
      <w:pPr>
        <w:bidi w:val="0"/>
        <w:rPr>
          <w:rFonts w:hint="eastAsia"/>
          <w:sz w:val="24"/>
          <w:szCs w:val="22"/>
        </w:rPr>
      </w:pPr>
      <w:r>
        <w:rPr>
          <w:rFonts w:hint="eastAsia"/>
          <w:sz w:val="24"/>
          <w:szCs w:val="22"/>
        </w:rPr>
        <w:t>（2）响应人须知；</w:t>
      </w:r>
    </w:p>
    <w:p w14:paraId="1838C60E">
      <w:pPr>
        <w:bidi w:val="0"/>
        <w:rPr>
          <w:rFonts w:hint="eastAsia"/>
          <w:sz w:val="24"/>
          <w:szCs w:val="22"/>
        </w:rPr>
      </w:pPr>
      <w:r>
        <w:rPr>
          <w:rFonts w:hint="eastAsia"/>
          <w:sz w:val="24"/>
          <w:szCs w:val="22"/>
        </w:rPr>
        <w:t>（3）评审办法；</w:t>
      </w:r>
    </w:p>
    <w:p w14:paraId="282DC566">
      <w:pPr>
        <w:bidi w:val="0"/>
        <w:rPr>
          <w:rFonts w:hint="eastAsia"/>
          <w:sz w:val="24"/>
          <w:szCs w:val="22"/>
        </w:rPr>
      </w:pPr>
      <w:r>
        <w:rPr>
          <w:rFonts w:hint="eastAsia"/>
          <w:sz w:val="24"/>
          <w:szCs w:val="22"/>
        </w:rPr>
        <w:t>（4）合同条款及格式；</w:t>
      </w:r>
    </w:p>
    <w:p w14:paraId="653EBC51">
      <w:pPr>
        <w:bidi w:val="0"/>
        <w:rPr>
          <w:rFonts w:hint="eastAsia"/>
          <w:sz w:val="24"/>
          <w:szCs w:val="22"/>
        </w:rPr>
      </w:pPr>
      <w:r>
        <w:rPr>
          <w:rFonts w:hint="eastAsia"/>
          <w:sz w:val="24"/>
          <w:szCs w:val="22"/>
        </w:rPr>
        <w:t>（5）采购人需求及技术要求；</w:t>
      </w:r>
    </w:p>
    <w:p w14:paraId="23E49829">
      <w:pPr>
        <w:bidi w:val="0"/>
        <w:rPr>
          <w:rFonts w:hint="eastAsia"/>
          <w:sz w:val="24"/>
          <w:szCs w:val="22"/>
        </w:rPr>
      </w:pPr>
      <w:r>
        <w:rPr>
          <w:rFonts w:hint="eastAsia"/>
          <w:sz w:val="24"/>
          <w:szCs w:val="22"/>
        </w:rPr>
        <w:t>（6）竞争性磋商响应文件格式；</w:t>
      </w:r>
    </w:p>
    <w:p w14:paraId="1321F40C">
      <w:pPr>
        <w:bidi w:val="0"/>
        <w:rPr>
          <w:rFonts w:hint="eastAsia"/>
          <w:sz w:val="24"/>
          <w:szCs w:val="22"/>
        </w:rPr>
      </w:pPr>
      <w:r>
        <w:rPr>
          <w:rFonts w:hint="eastAsia"/>
          <w:sz w:val="24"/>
          <w:szCs w:val="22"/>
        </w:rPr>
        <w:t>（7）响应人须知前附表规定的其他材料。</w:t>
      </w:r>
    </w:p>
    <w:p w14:paraId="4996811B">
      <w:pPr>
        <w:bidi w:val="0"/>
        <w:rPr>
          <w:rFonts w:hint="eastAsia"/>
          <w:sz w:val="24"/>
          <w:szCs w:val="22"/>
        </w:rPr>
      </w:pPr>
      <w:r>
        <w:rPr>
          <w:rFonts w:hint="eastAsia"/>
          <w:sz w:val="24"/>
          <w:szCs w:val="22"/>
        </w:rPr>
        <w:t>根据本章第 1.10 款、第 2.2 款和第 2.3 款对磋商文件所作的澄清、修改，构成磋商文件的组成部分。</w:t>
      </w:r>
    </w:p>
    <w:p w14:paraId="46EFD8B7">
      <w:pPr>
        <w:bidi w:val="0"/>
        <w:rPr>
          <w:rFonts w:hint="eastAsia"/>
          <w:sz w:val="24"/>
          <w:szCs w:val="22"/>
        </w:rPr>
      </w:pPr>
      <w:bookmarkStart w:id="97" w:name="_Toc10256"/>
      <w:bookmarkStart w:id="98" w:name="_Toc495424851"/>
      <w:bookmarkStart w:id="99" w:name="_Toc495425057"/>
      <w:bookmarkStart w:id="100" w:name="_Toc495424118"/>
      <w:r>
        <w:rPr>
          <w:rFonts w:hint="eastAsia"/>
          <w:sz w:val="24"/>
          <w:szCs w:val="22"/>
        </w:rPr>
        <w:t>2.2 磋商文件的澄清</w:t>
      </w:r>
      <w:bookmarkEnd w:id="97"/>
      <w:bookmarkEnd w:id="98"/>
      <w:bookmarkEnd w:id="99"/>
      <w:bookmarkEnd w:id="100"/>
    </w:p>
    <w:p w14:paraId="62EDE42C">
      <w:pPr>
        <w:bidi w:val="0"/>
        <w:rPr>
          <w:rFonts w:hint="eastAsia"/>
          <w:sz w:val="24"/>
          <w:szCs w:val="22"/>
        </w:rPr>
      </w:pPr>
      <w:r>
        <w:rPr>
          <w:rFonts w:hint="eastAsia"/>
          <w:sz w:val="24"/>
          <w:szCs w:val="22"/>
        </w:rPr>
        <w:t>2.2.1 响应人应仔细阅读和检查磋商文件的全部内容。如发现缺页或附件不全，应及时向采购人提出，以便补齐。如有疑问，应在响应人须知前附表规定的时间前以书面形式（包括信函、电报、传真等可以有形地表现所载内容的形式，下同），要求采购人对磋商文件予以澄清，否则由此引起的任何后果均由响应人自己承担，采购人不承担任何责任。</w:t>
      </w:r>
    </w:p>
    <w:p w14:paraId="3C43CF46">
      <w:pPr>
        <w:bidi w:val="0"/>
        <w:rPr>
          <w:rFonts w:hint="eastAsia"/>
          <w:sz w:val="24"/>
          <w:szCs w:val="22"/>
        </w:rPr>
      </w:pPr>
      <w:r>
        <w:rPr>
          <w:rFonts w:hint="eastAsia"/>
          <w:sz w:val="24"/>
          <w:szCs w:val="22"/>
        </w:rPr>
        <w:t>2.2.2 磋商文件的澄清将在响应人须知前附表规定的提交响应文件截止时间5天前以书面形式发给所有购买磋商文件的响应人，但不指明澄清问题的来源。如果澄清发出的时间距提交响应文件截止时间不足5日历天，相应延长提交响应文件截止时间。</w:t>
      </w:r>
    </w:p>
    <w:p w14:paraId="37137A86">
      <w:pPr>
        <w:bidi w:val="0"/>
        <w:rPr>
          <w:rFonts w:hint="eastAsia"/>
          <w:sz w:val="24"/>
          <w:szCs w:val="22"/>
        </w:rPr>
      </w:pPr>
      <w:r>
        <w:rPr>
          <w:rFonts w:hint="eastAsia"/>
          <w:sz w:val="24"/>
          <w:szCs w:val="22"/>
        </w:rPr>
        <w:t>2.2.3 响应人在收到澄清后，应在响应人须知前附表规定的时间内以书面形式通知采购人，确认已收到该澄清。</w:t>
      </w:r>
    </w:p>
    <w:p w14:paraId="3C227A7C">
      <w:pPr>
        <w:bidi w:val="0"/>
        <w:rPr>
          <w:rFonts w:hint="eastAsia"/>
          <w:sz w:val="24"/>
          <w:szCs w:val="22"/>
        </w:rPr>
      </w:pPr>
      <w:bookmarkStart w:id="101" w:name="_Toc495425058"/>
      <w:bookmarkStart w:id="102" w:name="_Toc13156"/>
      <w:bookmarkStart w:id="103" w:name="_Toc495424119"/>
      <w:bookmarkStart w:id="104" w:name="_Toc495424852"/>
      <w:r>
        <w:rPr>
          <w:rFonts w:hint="eastAsia"/>
          <w:sz w:val="24"/>
          <w:szCs w:val="22"/>
        </w:rPr>
        <w:t>2.3 磋商文件的修改</w:t>
      </w:r>
      <w:bookmarkEnd w:id="101"/>
      <w:bookmarkEnd w:id="102"/>
      <w:bookmarkEnd w:id="103"/>
      <w:bookmarkEnd w:id="104"/>
    </w:p>
    <w:p w14:paraId="057AFA1A">
      <w:pPr>
        <w:bidi w:val="0"/>
        <w:rPr>
          <w:rFonts w:hint="eastAsia"/>
          <w:sz w:val="24"/>
          <w:szCs w:val="22"/>
        </w:rPr>
      </w:pPr>
      <w:r>
        <w:rPr>
          <w:rFonts w:hint="eastAsia"/>
          <w:sz w:val="24"/>
          <w:szCs w:val="22"/>
        </w:rPr>
        <w:t>2.3.1 在提交响应文件截止5日历天前，采购人可以书面形式修改磋商文件，并通知所有已购买磋商文件的响应人。如果修改磋商文件的时间距提交响应文件截止时间不足5日历天，相应延长提交响应文件截止时间。</w:t>
      </w:r>
    </w:p>
    <w:p w14:paraId="2C562BCB">
      <w:pPr>
        <w:bidi w:val="0"/>
        <w:rPr>
          <w:rFonts w:hint="eastAsia"/>
          <w:sz w:val="24"/>
          <w:szCs w:val="22"/>
        </w:rPr>
      </w:pPr>
      <w:r>
        <w:rPr>
          <w:rFonts w:hint="eastAsia"/>
          <w:sz w:val="24"/>
          <w:szCs w:val="22"/>
        </w:rPr>
        <w:t>2.3.2 响应人收到修改内容后，应在响应人须知前附表规定的时间内以书面形式通知采购人，确认已收到该修改。</w:t>
      </w:r>
    </w:p>
    <w:p w14:paraId="180D5895">
      <w:pPr>
        <w:pStyle w:val="3"/>
        <w:bidi w:val="0"/>
        <w:rPr>
          <w:rFonts w:hint="eastAsia"/>
        </w:rPr>
      </w:pPr>
      <w:bookmarkStart w:id="105" w:name="_Toc495424853"/>
      <w:bookmarkStart w:id="106" w:name="_Toc495425059"/>
      <w:bookmarkStart w:id="107" w:name="_Toc30846"/>
      <w:bookmarkStart w:id="108" w:name="_Toc495424120"/>
      <w:r>
        <w:rPr>
          <w:rFonts w:hint="eastAsia"/>
        </w:rPr>
        <w:t>3. 响应文件</w:t>
      </w:r>
      <w:bookmarkEnd w:id="105"/>
      <w:bookmarkEnd w:id="106"/>
      <w:bookmarkEnd w:id="107"/>
      <w:bookmarkEnd w:id="108"/>
    </w:p>
    <w:p w14:paraId="16624F61">
      <w:pPr>
        <w:bidi w:val="0"/>
        <w:rPr>
          <w:rFonts w:hint="eastAsia"/>
          <w:sz w:val="24"/>
          <w:szCs w:val="22"/>
        </w:rPr>
      </w:pPr>
      <w:bookmarkStart w:id="109" w:name="_Toc495424854"/>
      <w:bookmarkStart w:id="110" w:name="_Toc495424121"/>
      <w:bookmarkStart w:id="111" w:name="_Toc12386"/>
      <w:bookmarkStart w:id="112" w:name="_Toc495425060"/>
      <w:r>
        <w:rPr>
          <w:rFonts w:hint="eastAsia"/>
          <w:sz w:val="24"/>
          <w:szCs w:val="22"/>
        </w:rPr>
        <w:t>3.1 响应文件的组成</w:t>
      </w:r>
      <w:bookmarkEnd w:id="109"/>
      <w:bookmarkEnd w:id="110"/>
      <w:bookmarkEnd w:id="111"/>
      <w:bookmarkEnd w:id="112"/>
    </w:p>
    <w:p w14:paraId="7B33A8E3">
      <w:pPr>
        <w:bidi w:val="0"/>
        <w:rPr>
          <w:rFonts w:hint="eastAsia"/>
          <w:sz w:val="24"/>
          <w:szCs w:val="22"/>
        </w:rPr>
      </w:pPr>
      <w:r>
        <w:rPr>
          <w:rFonts w:hint="eastAsia"/>
          <w:sz w:val="24"/>
          <w:szCs w:val="22"/>
        </w:rPr>
        <w:t>详见第六章“竞争性磋商响应文件格式”</w:t>
      </w:r>
    </w:p>
    <w:p w14:paraId="649AE78E">
      <w:pPr>
        <w:bidi w:val="0"/>
        <w:rPr>
          <w:rFonts w:hint="eastAsia"/>
          <w:sz w:val="24"/>
          <w:szCs w:val="22"/>
        </w:rPr>
      </w:pPr>
      <w:bookmarkStart w:id="113" w:name="_Toc495424855"/>
      <w:bookmarkStart w:id="114" w:name="_Toc495425061"/>
      <w:bookmarkStart w:id="115" w:name="_Toc21787"/>
      <w:bookmarkStart w:id="116" w:name="_Toc495424122"/>
      <w:r>
        <w:rPr>
          <w:rFonts w:hint="eastAsia"/>
          <w:sz w:val="24"/>
          <w:szCs w:val="22"/>
        </w:rPr>
        <w:t>3.2 磋商报价</w:t>
      </w:r>
      <w:bookmarkEnd w:id="113"/>
      <w:bookmarkEnd w:id="114"/>
      <w:bookmarkEnd w:id="115"/>
      <w:bookmarkEnd w:id="116"/>
    </w:p>
    <w:p w14:paraId="67FB7FAA">
      <w:pPr>
        <w:bidi w:val="0"/>
        <w:rPr>
          <w:rFonts w:hint="eastAsia"/>
          <w:sz w:val="24"/>
          <w:szCs w:val="22"/>
        </w:rPr>
      </w:pPr>
      <w:r>
        <w:rPr>
          <w:rFonts w:hint="eastAsia"/>
          <w:sz w:val="24"/>
          <w:szCs w:val="22"/>
        </w:rPr>
        <w:t>3.2.1响应报价所列单价应包括：XXX金额、包装费、运输保险费、装卸费、安装费、投标费用等，除此之外，医院不再支付其它任何费用。响应文件的大写金额和小写金额不一致的，以大写金额为准；总价金额与按单价汇总金额不一致的，以单价金额计算结果为准；单价金额小数点有明显错位的，应以总价为准，并修改单价。响应人对所投的服务只能报一个不变价，院方不接受任何选择价。</w:t>
      </w:r>
    </w:p>
    <w:p w14:paraId="61129293">
      <w:pPr>
        <w:bidi w:val="0"/>
        <w:rPr>
          <w:rFonts w:hint="eastAsia"/>
          <w:sz w:val="24"/>
          <w:szCs w:val="22"/>
        </w:rPr>
      </w:pPr>
      <w:r>
        <w:rPr>
          <w:rFonts w:hint="eastAsia"/>
          <w:sz w:val="24"/>
          <w:szCs w:val="22"/>
        </w:rPr>
        <w:t>3.2.2磋商报价应将所有内容考虑在内，如有漏项或缺项，均属于响应人的风险。响应人没有填写的项目将被认为此项目所涉及的全部费用已包含在其他相关项目及磋商总价中。</w:t>
      </w:r>
    </w:p>
    <w:p w14:paraId="11DA88B9">
      <w:pPr>
        <w:bidi w:val="0"/>
        <w:rPr>
          <w:rFonts w:hint="eastAsia"/>
          <w:sz w:val="24"/>
          <w:szCs w:val="22"/>
        </w:rPr>
      </w:pPr>
      <w:r>
        <w:rPr>
          <w:rFonts w:hint="eastAsia"/>
          <w:sz w:val="24"/>
          <w:szCs w:val="22"/>
        </w:rPr>
        <w:t>3.2.3响应人在磋商截止时间前修改磋商总报价，应同时修改相应报价。此修改须符合本章第4.3款的有关要求。</w:t>
      </w:r>
    </w:p>
    <w:p w14:paraId="1A695120">
      <w:pPr>
        <w:bidi w:val="0"/>
        <w:rPr>
          <w:rFonts w:hint="eastAsia"/>
          <w:sz w:val="24"/>
          <w:szCs w:val="22"/>
        </w:rPr>
      </w:pPr>
      <w:r>
        <w:rPr>
          <w:rFonts w:hint="eastAsia"/>
          <w:sz w:val="24"/>
          <w:szCs w:val="22"/>
        </w:rPr>
        <w:t>3.2.4磋商函附录内容与响应文件中内容不一致的，以磋商函附录为准。</w:t>
      </w:r>
    </w:p>
    <w:p w14:paraId="351DD54D">
      <w:pPr>
        <w:bidi w:val="0"/>
        <w:rPr>
          <w:rFonts w:hint="eastAsia"/>
          <w:sz w:val="24"/>
          <w:szCs w:val="22"/>
        </w:rPr>
      </w:pPr>
      <w:bookmarkStart w:id="117" w:name="_Toc12764"/>
      <w:bookmarkStart w:id="118" w:name="_Toc1098"/>
      <w:bookmarkStart w:id="119" w:name="_Toc13263"/>
      <w:bookmarkStart w:id="120" w:name="_Toc5505"/>
      <w:r>
        <w:rPr>
          <w:rFonts w:hint="eastAsia"/>
          <w:sz w:val="24"/>
          <w:szCs w:val="22"/>
          <w:lang w:val="en-US" w:eastAsia="zh-CN"/>
        </w:rPr>
        <w:t>3.3</w:t>
      </w:r>
      <w:r>
        <w:rPr>
          <w:rFonts w:hint="eastAsia"/>
          <w:sz w:val="24"/>
          <w:szCs w:val="22"/>
        </w:rPr>
        <w:t>磋商有效期</w:t>
      </w:r>
      <w:bookmarkEnd w:id="117"/>
      <w:bookmarkEnd w:id="118"/>
      <w:bookmarkEnd w:id="119"/>
      <w:bookmarkEnd w:id="120"/>
    </w:p>
    <w:p w14:paraId="690674A7">
      <w:pPr>
        <w:bidi w:val="0"/>
        <w:rPr>
          <w:rFonts w:hint="eastAsia"/>
          <w:sz w:val="24"/>
          <w:szCs w:val="22"/>
          <w:lang w:eastAsia="zh-CN"/>
        </w:rPr>
      </w:pPr>
      <w:r>
        <w:rPr>
          <w:rFonts w:hint="eastAsia"/>
          <w:sz w:val="24"/>
          <w:szCs w:val="22"/>
          <w:lang w:val="en-US" w:eastAsia="zh-CN"/>
        </w:rPr>
        <w:t>3.3.1</w:t>
      </w:r>
      <w:r>
        <w:rPr>
          <w:rFonts w:hint="eastAsia"/>
          <w:sz w:val="24"/>
          <w:szCs w:val="22"/>
          <w:lang w:eastAsia="zh-CN"/>
        </w:rPr>
        <w:t>磋商有效期见供应商须知前附表，从提交首次响应文件的截止之日起算。</w:t>
      </w:r>
    </w:p>
    <w:p w14:paraId="46A80748">
      <w:pPr>
        <w:bidi w:val="0"/>
        <w:rPr>
          <w:rFonts w:hint="eastAsia"/>
          <w:sz w:val="24"/>
          <w:szCs w:val="22"/>
        </w:rPr>
      </w:pPr>
      <w:r>
        <w:rPr>
          <w:rFonts w:hint="eastAsia"/>
          <w:sz w:val="24"/>
          <w:szCs w:val="22"/>
          <w:lang w:val="en-US" w:eastAsia="zh-CN"/>
        </w:rPr>
        <w:t xml:space="preserve">3.3.2 </w:t>
      </w:r>
      <w:r>
        <w:rPr>
          <w:rFonts w:hint="eastAsia"/>
          <w:sz w:val="24"/>
          <w:szCs w:val="22"/>
          <w:lang w:eastAsia="zh-CN"/>
        </w:rPr>
        <w:t>在磋商有效期内，供应商撤销响应文件的，应承担竞争性磋商文件和法律规定的责任。</w:t>
      </w:r>
    </w:p>
    <w:p w14:paraId="51BA4F65">
      <w:pPr>
        <w:bidi w:val="0"/>
        <w:rPr>
          <w:rFonts w:hint="eastAsia"/>
          <w:sz w:val="24"/>
          <w:szCs w:val="22"/>
        </w:rPr>
      </w:pPr>
      <w:bookmarkStart w:id="121" w:name="_Toc495424858"/>
      <w:bookmarkStart w:id="122" w:name="_Toc495425064"/>
      <w:bookmarkStart w:id="123" w:name="_Toc495424125"/>
      <w:bookmarkStart w:id="124" w:name="_Toc9281"/>
      <w:r>
        <w:rPr>
          <w:rFonts w:hint="eastAsia"/>
          <w:sz w:val="24"/>
          <w:szCs w:val="22"/>
        </w:rPr>
        <w:t>3.</w:t>
      </w:r>
      <w:r>
        <w:rPr>
          <w:rFonts w:hint="eastAsia"/>
          <w:sz w:val="24"/>
          <w:szCs w:val="22"/>
          <w:lang w:val="en-US" w:eastAsia="zh-CN"/>
        </w:rPr>
        <w:t>4</w:t>
      </w:r>
      <w:r>
        <w:rPr>
          <w:rFonts w:hint="eastAsia"/>
          <w:sz w:val="24"/>
          <w:szCs w:val="22"/>
        </w:rPr>
        <w:t xml:space="preserve"> 资格审查资料</w:t>
      </w:r>
      <w:bookmarkEnd w:id="121"/>
      <w:bookmarkEnd w:id="122"/>
      <w:bookmarkEnd w:id="123"/>
      <w:bookmarkEnd w:id="124"/>
    </w:p>
    <w:p w14:paraId="7C5E3F7F">
      <w:pPr>
        <w:bidi w:val="0"/>
        <w:rPr>
          <w:rFonts w:hint="eastAsia"/>
          <w:sz w:val="24"/>
          <w:szCs w:val="22"/>
        </w:rPr>
      </w:pPr>
      <w:r>
        <w:rPr>
          <w:rFonts w:hint="eastAsia"/>
          <w:sz w:val="24"/>
          <w:szCs w:val="22"/>
        </w:rPr>
        <w:t>响应人基本情况表：附①营业执照（副本）、②财务审计报告</w:t>
      </w:r>
      <w:r>
        <w:rPr>
          <w:rFonts w:hint="eastAsia"/>
          <w:sz w:val="24"/>
          <w:szCs w:val="22"/>
          <w:lang w:val="en-US" w:eastAsia="zh-CN"/>
        </w:rPr>
        <w:t>或银行资信证明、</w:t>
      </w:r>
      <w:r>
        <w:rPr>
          <w:rFonts w:hint="eastAsia"/>
          <w:sz w:val="24"/>
          <w:szCs w:val="22"/>
        </w:rPr>
        <w:t>③承诺书、④202</w:t>
      </w:r>
      <w:r>
        <w:rPr>
          <w:rFonts w:hint="eastAsia"/>
          <w:sz w:val="24"/>
          <w:szCs w:val="22"/>
          <w:lang w:val="en-US" w:eastAsia="zh-CN"/>
        </w:rPr>
        <w:t>4</w:t>
      </w:r>
      <w:r>
        <w:rPr>
          <w:rFonts w:hint="eastAsia"/>
          <w:sz w:val="24"/>
          <w:szCs w:val="22"/>
        </w:rPr>
        <w:t>年</w:t>
      </w:r>
      <w:r>
        <w:rPr>
          <w:rFonts w:hint="eastAsia"/>
          <w:sz w:val="24"/>
          <w:szCs w:val="22"/>
          <w:lang w:val="en-US" w:eastAsia="zh-CN"/>
        </w:rPr>
        <w:t>1</w:t>
      </w:r>
      <w:r>
        <w:rPr>
          <w:rFonts w:hint="eastAsia"/>
          <w:sz w:val="24"/>
          <w:szCs w:val="22"/>
        </w:rPr>
        <w:t>月份以来任意一个月份依法纳税和缴纳社会保障资金的证明材料、⑤参加政府采购活动前三年内，在经营活动中没有重大违法记录的书面声明、⑥网站查询结果网页截图（列入失信被执行人、重大税收违法案件当事人名单、政府采购严重违法失信行为记录名单3页截图并加盖单位公章）、⑦提供“全国企业信用信息公示系统”中查询打印的相关材料</w:t>
      </w:r>
    </w:p>
    <w:p w14:paraId="008E7A1E">
      <w:pPr>
        <w:bidi w:val="0"/>
        <w:rPr>
          <w:rFonts w:hint="eastAsia"/>
          <w:sz w:val="24"/>
          <w:szCs w:val="22"/>
        </w:rPr>
      </w:pPr>
      <w:bookmarkStart w:id="125" w:name="_Toc495424126"/>
      <w:bookmarkStart w:id="126" w:name="_Toc495425065"/>
      <w:bookmarkStart w:id="127" w:name="_Toc495424859"/>
      <w:bookmarkStart w:id="128" w:name="_Toc25076"/>
      <w:r>
        <w:rPr>
          <w:rFonts w:hint="eastAsia"/>
          <w:sz w:val="24"/>
          <w:szCs w:val="22"/>
        </w:rPr>
        <w:t>3.</w:t>
      </w:r>
      <w:r>
        <w:rPr>
          <w:rFonts w:hint="eastAsia"/>
          <w:sz w:val="24"/>
          <w:szCs w:val="22"/>
          <w:lang w:val="en-US" w:eastAsia="zh-CN"/>
        </w:rPr>
        <w:t>5</w:t>
      </w:r>
      <w:r>
        <w:rPr>
          <w:rFonts w:hint="eastAsia"/>
          <w:sz w:val="24"/>
          <w:szCs w:val="22"/>
        </w:rPr>
        <w:t xml:space="preserve"> 备选方案</w:t>
      </w:r>
      <w:bookmarkEnd w:id="125"/>
      <w:bookmarkEnd w:id="126"/>
      <w:bookmarkEnd w:id="127"/>
      <w:bookmarkEnd w:id="128"/>
    </w:p>
    <w:p w14:paraId="2D991477">
      <w:pPr>
        <w:bidi w:val="0"/>
        <w:rPr>
          <w:rFonts w:hint="eastAsia"/>
          <w:sz w:val="24"/>
          <w:szCs w:val="22"/>
        </w:rPr>
      </w:pPr>
      <w:r>
        <w:rPr>
          <w:rFonts w:hint="eastAsia"/>
          <w:sz w:val="24"/>
          <w:szCs w:val="22"/>
        </w:rPr>
        <w:t>除响应人须知前附表另有规定外，响应人不得递交备选磋商方案。</w:t>
      </w:r>
    </w:p>
    <w:p w14:paraId="3F3B19D1">
      <w:pPr>
        <w:bidi w:val="0"/>
        <w:rPr>
          <w:rFonts w:hint="eastAsia"/>
          <w:sz w:val="24"/>
          <w:szCs w:val="22"/>
        </w:rPr>
      </w:pPr>
      <w:bookmarkStart w:id="129" w:name="_Toc495424860"/>
      <w:bookmarkStart w:id="130" w:name="_Toc4376"/>
      <w:bookmarkStart w:id="131" w:name="_Toc495425066"/>
      <w:bookmarkStart w:id="132" w:name="_Toc495424127"/>
      <w:r>
        <w:rPr>
          <w:rFonts w:hint="eastAsia"/>
          <w:sz w:val="24"/>
          <w:szCs w:val="22"/>
        </w:rPr>
        <w:t>3.</w:t>
      </w:r>
      <w:r>
        <w:rPr>
          <w:rFonts w:hint="eastAsia"/>
          <w:sz w:val="24"/>
          <w:szCs w:val="22"/>
          <w:lang w:val="en-US" w:eastAsia="zh-CN"/>
        </w:rPr>
        <w:t>6</w:t>
      </w:r>
      <w:r>
        <w:rPr>
          <w:rFonts w:hint="eastAsia"/>
          <w:sz w:val="24"/>
          <w:szCs w:val="22"/>
        </w:rPr>
        <w:t xml:space="preserve"> 响应文件的编制</w:t>
      </w:r>
      <w:bookmarkEnd w:id="129"/>
      <w:bookmarkEnd w:id="130"/>
      <w:bookmarkEnd w:id="131"/>
      <w:bookmarkEnd w:id="132"/>
    </w:p>
    <w:p w14:paraId="4BF53DD0">
      <w:pPr>
        <w:bidi w:val="0"/>
        <w:rPr>
          <w:rFonts w:hint="eastAsia"/>
          <w:sz w:val="24"/>
          <w:szCs w:val="22"/>
        </w:rPr>
      </w:pPr>
      <w:r>
        <w:rPr>
          <w:rFonts w:hint="eastAsia"/>
          <w:sz w:val="24"/>
          <w:szCs w:val="22"/>
        </w:rPr>
        <w:t>3.</w:t>
      </w:r>
      <w:r>
        <w:rPr>
          <w:rFonts w:hint="eastAsia"/>
          <w:sz w:val="24"/>
          <w:szCs w:val="22"/>
          <w:lang w:val="en-US" w:eastAsia="zh-CN"/>
        </w:rPr>
        <w:t>6</w:t>
      </w:r>
      <w:r>
        <w:rPr>
          <w:rFonts w:hint="eastAsia"/>
          <w:sz w:val="24"/>
          <w:szCs w:val="22"/>
        </w:rPr>
        <w:t>.1 响应文件应按第六章“竞争性磋商响应文件格式”进行编写，如有必要，可以增加附页，作为响应文件的组成部分。其中，磋商函附录在满足磋商文件实质性要求的基础上，可以提出比磋商文件要求更有利于采购人的承诺。</w:t>
      </w:r>
    </w:p>
    <w:p w14:paraId="54CE31F7">
      <w:pPr>
        <w:bidi w:val="0"/>
        <w:rPr>
          <w:rFonts w:hint="eastAsia"/>
          <w:sz w:val="24"/>
          <w:szCs w:val="22"/>
        </w:rPr>
      </w:pPr>
      <w:r>
        <w:rPr>
          <w:rFonts w:hint="eastAsia"/>
          <w:sz w:val="24"/>
          <w:szCs w:val="22"/>
        </w:rPr>
        <w:t>3.</w:t>
      </w:r>
      <w:r>
        <w:rPr>
          <w:rFonts w:hint="eastAsia"/>
          <w:sz w:val="24"/>
          <w:szCs w:val="22"/>
          <w:lang w:val="en-US" w:eastAsia="zh-CN"/>
        </w:rPr>
        <w:t>6</w:t>
      </w:r>
      <w:r>
        <w:rPr>
          <w:rFonts w:hint="eastAsia"/>
          <w:sz w:val="24"/>
          <w:szCs w:val="22"/>
        </w:rPr>
        <w:t>.2 响应文件应当对磋商文件有关服务时限、磋商有效期、服务质量、服务地点、磋商内容等实质性内容作出响应。</w:t>
      </w:r>
    </w:p>
    <w:p w14:paraId="35EA71E7">
      <w:pPr>
        <w:bidi w:val="0"/>
        <w:rPr>
          <w:rFonts w:hint="eastAsia"/>
          <w:sz w:val="24"/>
          <w:szCs w:val="22"/>
        </w:rPr>
      </w:pPr>
      <w:r>
        <w:rPr>
          <w:rFonts w:hint="eastAsia"/>
          <w:sz w:val="24"/>
          <w:szCs w:val="22"/>
        </w:rPr>
        <w:t>3.</w:t>
      </w:r>
      <w:r>
        <w:rPr>
          <w:rFonts w:hint="eastAsia"/>
          <w:sz w:val="24"/>
          <w:szCs w:val="22"/>
          <w:lang w:val="en-US" w:eastAsia="zh-CN"/>
        </w:rPr>
        <w:t>6</w:t>
      </w:r>
      <w:r>
        <w:rPr>
          <w:rFonts w:hint="eastAsia"/>
          <w:sz w:val="24"/>
          <w:szCs w:val="22"/>
        </w:rPr>
        <w:t>.3 响应文件应用不褪色的材料书写或打印，并由响应人的法定代表人或其委托代理人签字或盖章并加盖单位公章。委托代理人签字或盖章的，响应文件应附法定代表人签字或盖章的授权委托书。响应文件应尽量避免涂改、行间插字或删除。如果出现上述情况，改动之处应加盖单位公章并由响应人的法定代表人或其授权的代理人签字或盖章确认。签字或盖章的具体要求见响应人须知前附表。</w:t>
      </w:r>
    </w:p>
    <w:p w14:paraId="391F67F6">
      <w:pPr>
        <w:bidi w:val="0"/>
        <w:rPr>
          <w:rFonts w:hint="eastAsia"/>
          <w:sz w:val="24"/>
          <w:szCs w:val="22"/>
        </w:rPr>
      </w:pPr>
      <w:r>
        <w:rPr>
          <w:rFonts w:hint="eastAsia"/>
          <w:sz w:val="24"/>
          <w:szCs w:val="22"/>
        </w:rPr>
        <w:t>3.</w:t>
      </w:r>
      <w:r>
        <w:rPr>
          <w:rFonts w:hint="eastAsia"/>
          <w:sz w:val="24"/>
          <w:szCs w:val="22"/>
          <w:lang w:val="en-US" w:eastAsia="zh-CN"/>
        </w:rPr>
        <w:t>6</w:t>
      </w:r>
      <w:r>
        <w:rPr>
          <w:rFonts w:hint="eastAsia"/>
          <w:sz w:val="24"/>
          <w:szCs w:val="22"/>
        </w:rPr>
        <w:t>.4 响应文件正本一份，副本份数见响应人须知前附表。正本和副本的封面上应清楚地标记“正本”或“副本”的字样。当副本和正本不一致时，以正本为准。</w:t>
      </w:r>
    </w:p>
    <w:p w14:paraId="1BC2112E">
      <w:pPr>
        <w:bidi w:val="0"/>
        <w:rPr>
          <w:rFonts w:hint="eastAsia" w:ascii="宋体" w:hAnsi="宋体" w:eastAsia="宋体" w:cs="宋体"/>
        </w:rPr>
      </w:pPr>
      <w:r>
        <w:rPr>
          <w:rFonts w:hint="eastAsia"/>
          <w:sz w:val="24"/>
          <w:szCs w:val="22"/>
        </w:rPr>
        <w:t>3.</w:t>
      </w:r>
      <w:r>
        <w:rPr>
          <w:rFonts w:hint="eastAsia"/>
          <w:sz w:val="24"/>
          <w:szCs w:val="22"/>
          <w:lang w:val="en-US" w:eastAsia="zh-CN"/>
        </w:rPr>
        <w:t>6</w:t>
      </w:r>
      <w:r>
        <w:rPr>
          <w:rFonts w:hint="eastAsia"/>
          <w:sz w:val="24"/>
          <w:szCs w:val="22"/>
        </w:rPr>
        <w:t>.5 响应文件的正本与副本应分别装订成册，并编制目录，具体装订要求见响应人须知前附表规定。</w:t>
      </w:r>
    </w:p>
    <w:p w14:paraId="39751F0D">
      <w:pPr>
        <w:pStyle w:val="3"/>
        <w:bidi w:val="0"/>
        <w:rPr>
          <w:rFonts w:hint="eastAsia"/>
        </w:rPr>
      </w:pPr>
      <w:bookmarkStart w:id="133" w:name="_Toc13078"/>
      <w:bookmarkStart w:id="134" w:name="_Toc495424861"/>
      <w:bookmarkStart w:id="135" w:name="_Toc495424128"/>
      <w:bookmarkStart w:id="136" w:name="_Toc495425067"/>
      <w:r>
        <w:rPr>
          <w:rFonts w:hint="eastAsia"/>
        </w:rPr>
        <w:t>4. 磋商</w:t>
      </w:r>
      <w:bookmarkEnd w:id="133"/>
      <w:bookmarkEnd w:id="134"/>
      <w:bookmarkEnd w:id="135"/>
      <w:bookmarkEnd w:id="136"/>
    </w:p>
    <w:p w14:paraId="13171CA2">
      <w:pPr>
        <w:bidi w:val="0"/>
        <w:rPr>
          <w:rFonts w:hint="eastAsia"/>
          <w:sz w:val="24"/>
          <w:szCs w:val="22"/>
        </w:rPr>
      </w:pPr>
      <w:bookmarkStart w:id="137" w:name="_Toc495425068"/>
      <w:bookmarkStart w:id="138" w:name="_Toc495424862"/>
      <w:bookmarkStart w:id="139" w:name="_Toc14353"/>
      <w:bookmarkStart w:id="140" w:name="_Toc495424129"/>
      <w:r>
        <w:rPr>
          <w:rFonts w:hint="eastAsia"/>
          <w:sz w:val="24"/>
          <w:szCs w:val="22"/>
        </w:rPr>
        <w:t>4.1 响应文件的密封和标记</w:t>
      </w:r>
      <w:bookmarkEnd w:id="137"/>
      <w:bookmarkEnd w:id="138"/>
      <w:bookmarkEnd w:id="139"/>
      <w:bookmarkEnd w:id="140"/>
    </w:p>
    <w:p w14:paraId="3B0A0084">
      <w:pPr>
        <w:bidi w:val="0"/>
        <w:rPr>
          <w:rFonts w:hint="eastAsia"/>
          <w:sz w:val="24"/>
          <w:szCs w:val="22"/>
        </w:rPr>
      </w:pPr>
      <w:r>
        <w:rPr>
          <w:rFonts w:hint="eastAsia"/>
          <w:sz w:val="24"/>
          <w:szCs w:val="22"/>
        </w:rPr>
        <w:t>4.1.1 响应文件的的正本及副本应分开包装，加贴封条，并在封套的封口处加盖响应人单位公章。</w:t>
      </w:r>
    </w:p>
    <w:p w14:paraId="6C908EC7">
      <w:pPr>
        <w:bidi w:val="0"/>
        <w:rPr>
          <w:rFonts w:hint="eastAsia"/>
          <w:sz w:val="24"/>
          <w:szCs w:val="22"/>
        </w:rPr>
      </w:pPr>
      <w:r>
        <w:rPr>
          <w:rFonts w:hint="eastAsia"/>
          <w:sz w:val="24"/>
          <w:szCs w:val="22"/>
        </w:rPr>
        <w:t>4.1.2 响应文件的封套上应清楚地标记“正本”或“副本”字样，封套上应写明的其他内容见响应人须知前附表。</w:t>
      </w:r>
    </w:p>
    <w:p w14:paraId="6A3DF677">
      <w:pPr>
        <w:bidi w:val="0"/>
        <w:rPr>
          <w:rFonts w:hint="eastAsia"/>
          <w:sz w:val="24"/>
          <w:szCs w:val="22"/>
        </w:rPr>
      </w:pPr>
      <w:r>
        <w:rPr>
          <w:rFonts w:hint="eastAsia"/>
          <w:sz w:val="24"/>
          <w:szCs w:val="22"/>
        </w:rPr>
        <w:t>4.1.3 未按本章第 4.1.1 项或第 4.1.2 项要求密封的响应文件，采购人不予受理。</w:t>
      </w:r>
    </w:p>
    <w:p w14:paraId="1D88C4EE">
      <w:pPr>
        <w:bidi w:val="0"/>
        <w:rPr>
          <w:rFonts w:hint="eastAsia"/>
          <w:sz w:val="24"/>
          <w:szCs w:val="22"/>
        </w:rPr>
      </w:pPr>
      <w:bookmarkStart w:id="141" w:name="_Toc15441"/>
      <w:bookmarkStart w:id="142" w:name="_Toc495424863"/>
      <w:bookmarkStart w:id="143" w:name="_Toc495424130"/>
      <w:bookmarkStart w:id="144" w:name="_Toc495425069"/>
      <w:r>
        <w:rPr>
          <w:rFonts w:hint="eastAsia"/>
          <w:sz w:val="24"/>
          <w:szCs w:val="22"/>
        </w:rPr>
        <w:t>4.2 响应文件的递交</w:t>
      </w:r>
      <w:bookmarkEnd w:id="141"/>
      <w:bookmarkEnd w:id="142"/>
      <w:bookmarkEnd w:id="143"/>
      <w:bookmarkEnd w:id="144"/>
    </w:p>
    <w:p w14:paraId="6F478F59">
      <w:pPr>
        <w:bidi w:val="0"/>
        <w:rPr>
          <w:rFonts w:hint="eastAsia"/>
          <w:sz w:val="24"/>
          <w:szCs w:val="22"/>
        </w:rPr>
      </w:pPr>
      <w:r>
        <w:rPr>
          <w:rFonts w:hint="eastAsia"/>
          <w:sz w:val="24"/>
          <w:szCs w:val="22"/>
        </w:rPr>
        <w:t>4.2.1 响应人应在本章第2.2.2项规定的磋商截止时间前递交响应文件。</w:t>
      </w:r>
    </w:p>
    <w:p w14:paraId="34E809C4">
      <w:pPr>
        <w:bidi w:val="0"/>
        <w:rPr>
          <w:rFonts w:hint="eastAsia"/>
          <w:sz w:val="24"/>
          <w:szCs w:val="22"/>
        </w:rPr>
      </w:pPr>
      <w:r>
        <w:rPr>
          <w:rFonts w:hint="eastAsia"/>
          <w:sz w:val="24"/>
          <w:szCs w:val="22"/>
        </w:rPr>
        <w:t>4.2.2 响应人递交响应文件的地点：见响应人须知前附表。</w:t>
      </w:r>
    </w:p>
    <w:p w14:paraId="4304D948">
      <w:pPr>
        <w:bidi w:val="0"/>
        <w:rPr>
          <w:rFonts w:hint="eastAsia"/>
          <w:sz w:val="24"/>
          <w:szCs w:val="22"/>
        </w:rPr>
      </w:pPr>
      <w:r>
        <w:rPr>
          <w:rFonts w:hint="eastAsia"/>
          <w:sz w:val="24"/>
          <w:szCs w:val="22"/>
        </w:rPr>
        <w:t>4.2.3 除响应人须知前附表另有规定外，响应人所递交的响应文件不予退还。</w:t>
      </w:r>
    </w:p>
    <w:p w14:paraId="4262621F">
      <w:pPr>
        <w:bidi w:val="0"/>
        <w:rPr>
          <w:rFonts w:hint="eastAsia"/>
          <w:sz w:val="24"/>
          <w:szCs w:val="22"/>
        </w:rPr>
      </w:pPr>
      <w:r>
        <w:rPr>
          <w:rFonts w:hint="eastAsia"/>
          <w:sz w:val="24"/>
          <w:szCs w:val="22"/>
        </w:rPr>
        <w:t>4.2.4 采购人收到响应文件后，向响应人出具签收凭证。</w:t>
      </w:r>
    </w:p>
    <w:p w14:paraId="1E7991CF">
      <w:pPr>
        <w:bidi w:val="0"/>
        <w:rPr>
          <w:rFonts w:hint="eastAsia"/>
          <w:sz w:val="24"/>
          <w:szCs w:val="22"/>
        </w:rPr>
      </w:pPr>
      <w:r>
        <w:rPr>
          <w:rFonts w:hint="eastAsia"/>
          <w:sz w:val="24"/>
          <w:szCs w:val="22"/>
        </w:rPr>
        <w:t>4.2.5 逾期送达的或者未送达指定地点的响应文件，采购人不予受理。</w:t>
      </w:r>
    </w:p>
    <w:p w14:paraId="1C03E7B1">
      <w:pPr>
        <w:bidi w:val="0"/>
        <w:rPr>
          <w:rFonts w:hint="eastAsia"/>
          <w:sz w:val="24"/>
          <w:szCs w:val="22"/>
        </w:rPr>
      </w:pPr>
      <w:bookmarkStart w:id="145" w:name="_Toc495425070"/>
      <w:bookmarkStart w:id="146" w:name="_Toc495424131"/>
      <w:bookmarkStart w:id="147" w:name="_Toc14808"/>
      <w:bookmarkStart w:id="148" w:name="_Toc495424864"/>
      <w:r>
        <w:rPr>
          <w:rFonts w:hint="eastAsia"/>
          <w:sz w:val="24"/>
          <w:szCs w:val="22"/>
        </w:rPr>
        <w:t>4.3 响应文件的修改与撤回</w:t>
      </w:r>
      <w:bookmarkEnd w:id="145"/>
      <w:bookmarkEnd w:id="146"/>
      <w:bookmarkEnd w:id="147"/>
      <w:bookmarkEnd w:id="148"/>
    </w:p>
    <w:p w14:paraId="38DF8A42">
      <w:pPr>
        <w:bidi w:val="0"/>
        <w:rPr>
          <w:rFonts w:hint="eastAsia"/>
          <w:sz w:val="24"/>
          <w:szCs w:val="22"/>
        </w:rPr>
      </w:pPr>
      <w:r>
        <w:rPr>
          <w:rFonts w:hint="eastAsia"/>
          <w:sz w:val="24"/>
          <w:szCs w:val="22"/>
        </w:rPr>
        <w:t>4.3.1 在本章第 2.2.2 项规定的响应文件递交截止时间前，响应人可以修改或撤回已递交的响应文件，但应以书面形式通知采购人。</w:t>
      </w:r>
    </w:p>
    <w:p w14:paraId="67841DC5">
      <w:pPr>
        <w:bidi w:val="0"/>
        <w:rPr>
          <w:rFonts w:hint="eastAsia"/>
          <w:sz w:val="24"/>
          <w:szCs w:val="22"/>
        </w:rPr>
      </w:pPr>
      <w:r>
        <w:rPr>
          <w:rFonts w:hint="eastAsia"/>
          <w:sz w:val="24"/>
          <w:szCs w:val="22"/>
        </w:rPr>
        <w:t>4.3.2 响应人修改或撤回已递交响应文件的书面通知应按照本章第3.7.3项的要求签字或盖章。采购人收到书面通知后，向响应人出具签收凭证。</w:t>
      </w:r>
    </w:p>
    <w:p w14:paraId="69065612">
      <w:pPr>
        <w:bidi w:val="0"/>
        <w:rPr>
          <w:rFonts w:hint="eastAsia"/>
          <w:sz w:val="24"/>
          <w:szCs w:val="22"/>
        </w:rPr>
      </w:pPr>
      <w:r>
        <w:rPr>
          <w:rFonts w:hint="eastAsia"/>
          <w:sz w:val="24"/>
          <w:szCs w:val="22"/>
        </w:rPr>
        <w:t>4.3.3 修改的内容为响应文件的组成部分。修改的响应文件应按照本章第3条、第4条规定进行编制、密封、标记和递交，并标明“修改”字样。</w:t>
      </w:r>
    </w:p>
    <w:p w14:paraId="524249D6">
      <w:pPr>
        <w:pStyle w:val="3"/>
        <w:bidi w:val="0"/>
        <w:rPr>
          <w:rFonts w:hint="eastAsia"/>
        </w:rPr>
      </w:pPr>
      <w:bookmarkStart w:id="149" w:name="_Toc495424132"/>
      <w:bookmarkStart w:id="150" w:name="_Toc28583"/>
      <w:bookmarkStart w:id="151" w:name="_Toc495424865"/>
      <w:bookmarkStart w:id="152" w:name="_Toc495425071"/>
      <w:r>
        <w:rPr>
          <w:rFonts w:hint="eastAsia"/>
        </w:rPr>
        <w:t>5. 磋商开始</w:t>
      </w:r>
      <w:bookmarkEnd w:id="149"/>
      <w:bookmarkEnd w:id="150"/>
      <w:bookmarkEnd w:id="151"/>
      <w:bookmarkEnd w:id="152"/>
    </w:p>
    <w:p w14:paraId="0BB743A6">
      <w:pPr>
        <w:bidi w:val="0"/>
        <w:rPr>
          <w:rFonts w:hint="eastAsia"/>
          <w:sz w:val="24"/>
          <w:szCs w:val="22"/>
        </w:rPr>
      </w:pPr>
      <w:bookmarkStart w:id="153" w:name="_Toc23999"/>
      <w:bookmarkStart w:id="154" w:name="_Toc495424133"/>
      <w:bookmarkStart w:id="155" w:name="_Toc495425072"/>
      <w:bookmarkStart w:id="156" w:name="_Toc495424866"/>
      <w:r>
        <w:rPr>
          <w:rFonts w:hint="eastAsia"/>
          <w:sz w:val="24"/>
          <w:szCs w:val="22"/>
        </w:rPr>
        <w:t>5.1 磋商时间和地点</w:t>
      </w:r>
      <w:bookmarkEnd w:id="153"/>
      <w:bookmarkEnd w:id="154"/>
      <w:bookmarkEnd w:id="155"/>
      <w:bookmarkEnd w:id="156"/>
    </w:p>
    <w:p w14:paraId="595153B7">
      <w:pPr>
        <w:bidi w:val="0"/>
        <w:rPr>
          <w:rFonts w:hint="eastAsia"/>
          <w:sz w:val="24"/>
          <w:szCs w:val="22"/>
        </w:rPr>
      </w:pPr>
      <w:r>
        <w:rPr>
          <w:rFonts w:hint="eastAsia"/>
          <w:sz w:val="24"/>
          <w:szCs w:val="22"/>
        </w:rPr>
        <w:t>采购人在本章第2.2.2项规定的响应文件提交截止时间和响应人须知前附表规定的地点进行磋商，届时请响应人法定代表人或其授权代表务必出席磋商会议，未出席视为放弃此次磋商 。</w:t>
      </w:r>
    </w:p>
    <w:p w14:paraId="528218E5">
      <w:pPr>
        <w:bidi w:val="0"/>
        <w:rPr>
          <w:rFonts w:hint="eastAsia"/>
          <w:sz w:val="24"/>
          <w:szCs w:val="22"/>
        </w:rPr>
      </w:pPr>
      <w:bookmarkStart w:id="157" w:name="_Toc495424134"/>
      <w:bookmarkStart w:id="158" w:name="_Toc2621"/>
      <w:bookmarkStart w:id="159" w:name="_Toc495425073"/>
      <w:bookmarkStart w:id="160" w:name="_Toc495424867"/>
      <w:r>
        <w:rPr>
          <w:rFonts w:hint="eastAsia"/>
          <w:sz w:val="24"/>
          <w:szCs w:val="22"/>
        </w:rPr>
        <w:t>5.2 磋商程序</w:t>
      </w:r>
      <w:bookmarkEnd w:id="157"/>
      <w:bookmarkEnd w:id="158"/>
      <w:bookmarkEnd w:id="159"/>
      <w:bookmarkEnd w:id="160"/>
    </w:p>
    <w:p w14:paraId="2999AECA">
      <w:pPr>
        <w:bidi w:val="0"/>
        <w:rPr>
          <w:rFonts w:hint="eastAsia"/>
          <w:sz w:val="24"/>
          <w:szCs w:val="22"/>
        </w:rPr>
      </w:pPr>
      <w:r>
        <w:rPr>
          <w:rFonts w:hint="eastAsia"/>
          <w:sz w:val="24"/>
          <w:szCs w:val="22"/>
        </w:rPr>
        <w:t>5.2.1磋商小组对磋商文件进行熟悉确认。</w:t>
      </w:r>
    </w:p>
    <w:p w14:paraId="5BF7A7FC">
      <w:pPr>
        <w:bidi w:val="0"/>
        <w:rPr>
          <w:rFonts w:hint="eastAsia"/>
          <w:sz w:val="24"/>
          <w:szCs w:val="22"/>
        </w:rPr>
      </w:pPr>
      <w:r>
        <w:rPr>
          <w:rFonts w:hint="eastAsia"/>
          <w:sz w:val="24"/>
          <w:szCs w:val="22"/>
        </w:rPr>
        <w:t>5.2.2磋商小组推选组长，讨论、通过磋商工作流程和磋商要点。</w:t>
      </w:r>
    </w:p>
    <w:p w14:paraId="5E3D912D">
      <w:pPr>
        <w:bidi w:val="0"/>
        <w:rPr>
          <w:rFonts w:hint="eastAsia"/>
          <w:sz w:val="24"/>
          <w:szCs w:val="22"/>
        </w:rPr>
      </w:pPr>
      <w:r>
        <w:rPr>
          <w:rFonts w:hint="eastAsia"/>
          <w:sz w:val="24"/>
          <w:szCs w:val="22"/>
        </w:rPr>
        <w:t>5.2.3资格性检查和符合性检查评审：磋商开始后，磋商小组依据磋商文件规定，对响应文件进行资格性检查和符合性检查评审，以确定磋商响应人是否具备参与磋商的资格。</w:t>
      </w:r>
    </w:p>
    <w:p w14:paraId="761FC1D4">
      <w:pPr>
        <w:bidi w:val="0"/>
        <w:rPr>
          <w:rFonts w:hint="eastAsia"/>
          <w:sz w:val="24"/>
          <w:szCs w:val="22"/>
        </w:rPr>
      </w:pPr>
      <w:r>
        <w:rPr>
          <w:rFonts w:hint="eastAsia"/>
          <w:sz w:val="24"/>
          <w:szCs w:val="22"/>
        </w:rPr>
        <w:t>5.2.4磋商小组对通过资格性和符合性审查的响应文件进行评估，确定与各响应人磋商的具体内容。</w:t>
      </w:r>
    </w:p>
    <w:p w14:paraId="43889F9C">
      <w:pPr>
        <w:bidi w:val="0"/>
        <w:rPr>
          <w:rFonts w:hint="eastAsia"/>
          <w:sz w:val="24"/>
          <w:szCs w:val="22"/>
        </w:rPr>
      </w:pPr>
      <w:r>
        <w:rPr>
          <w:rFonts w:hint="eastAsia"/>
          <w:sz w:val="24"/>
          <w:szCs w:val="22"/>
        </w:rPr>
        <w:t>5.2.5围绕磋商要点，磋商小组全体成员集中与单一响应人分别进行磋商。按各响应人递交响应文件的顺序进行磋商。</w:t>
      </w:r>
    </w:p>
    <w:p w14:paraId="5DCCC897">
      <w:pPr>
        <w:bidi w:val="0"/>
        <w:rPr>
          <w:rFonts w:hint="eastAsia"/>
          <w:sz w:val="24"/>
          <w:szCs w:val="22"/>
        </w:rPr>
      </w:pPr>
      <w:r>
        <w:rPr>
          <w:rFonts w:hint="eastAsia"/>
          <w:sz w:val="24"/>
          <w:szCs w:val="22"/>
        </w:rPr>
        <w:t>5.2.6磋商过程中，磋商小组可以根据磋商情况实质性变动采购需求中的技术、服务质量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其授权代表签字或盖章或者加盖公章。由授权代表签字或盖章的应当附法定代表人授权书。响应人为自然人的应当由本人签字或盖章并附身份证。响应人应根据磋商小组的要求，以书面形式在规定时间内做出响应，未做出响应的响应文件将被视为无效竞标。若磋商小组没有实质性变动采购需求中的技术、服务质量以及合同草案条款，则响应人的最后报价不得高于首次报价，否则作无效处理。</w:t>
      </w:r>
    </w:p>
    <w:p w14:paraId="6D799CAC">
      <w:pPr>
        <w:bidi w:val="0"/>
        <w:rPr>
          <w:rFonts w:hint="eastAsia"/>
          <w:sz w:val="24"/>
          <w:szCs w:val="22"/>
        </w:rPr>
      </w:pPr>
      <w:r>
        <w:rPr>
          <w:rFonts w:hint="eastAsia"/>
          <w:sz w:val="24"/>
          <w:szCs w:val="22"/>
        </w:rPr>
        <w:t>5.2.7磋商小组对符合采购需求的响应人进行不少于两轮报价；响应人只有通过资格性和符合性审查后方可进入下一轮报价，在规定的时间内同时提交报价，报价内容经采购人代表认可后作为最终</w:t>
      </w:r>
      <w:r>
        <w:rPr>
          <w:rFonts w:hint="eastAsia"/>
          <w:sz w:val="24"/>
          <w:szCs w:val="22"/>
          <w:lang w:val="en-US" w:eastAsia="zh-CN"/>
        </w:rPr>
        <w:t>磋商</w:t>
      </w:r>
      <w:r>
        <w:rPr>
          <w:rFonts w:hint="eastAsia"/>
          <w:sz w:val="24"/>
          <w:szCs w:val="22"/>
        </w:rPr>
        <w:t>内容，如若响应人第二次</w:t>
      </w:r>
      <w:r>
        <w:rPr>
          <w:rFonts w:hint="eastAsia"/>
          <w:sz w:val="24"/>
          <w:szCs w:val="22"/>
          <w:lang w:val="en-US" w:eastAsia="zh-CN"/>
        </w:rPr>
        <w:t>磋商</w:t>
      </w:r>
      <w:r>
        <w:rPr>
          <w:rFonts w:hint="eastAsia"/>
          <w:sz w:val="24"/>
          <w:szCs w:val="22"/>
        </w:rPr>
        <w:t>内容采购人无法接受，磋商小组可进行多次</w:t>
      </w:r>
      <w:r>
        <w:rPr>
          <w:rFonts w:hint="eastAsia"/>
          <w:sz w:val="24"/>
          <w:szCs w:val="22"/>
          <w:lang w:val="en-US" w:eastAsia="zh-CN"/>
        </w:rPr>
        <w:t>磋商</w:t>
      </w:r>
      <w:r>
        <w:rPr>
          <w:rFonts w:hint="eastAsia"/>
          <w:sz w:val="24"/>
          <w:szCs w:val="22"/>
        </w:rPr>
        <w:t>，响应人在规定时间内递交最终报价函，最后磋商报价不得超过响应文件中磋商报价。</w:t>
      </w:r>
    </w:p>
    <w:p w14:paraId="04FFB6E0">
      <w:pPr>
        <w:bidi w:val="0"/>
        <w:rPr>
          <w:rFonts w:hint="eastAsia"/>
          <w:sz w:val="24"/>
          <w:szCs w:val="22"/>
        </w:rPr>
      </w:pPr>
      <w:r>
        <w:rPr>
          <w:rFonts w:hint="eastAsia"/>
          <w:sz w:val="24"/>
          <w:szCs w:val="22"/>
        </w:rPr>
        <w:t>最终报价若高于采购人的采购控制金额，或采购人无力支付或采购人无法接受的，磋商小组有权决定废标。</w:t>
      </w:r>
    </w:p>
    <w:p w14:paraId="291ADDD2">
      <w:pPr>
        <w:bidi w:val="0"/>
        <w:rPr>
          <w:rFonts w:hint="eastAsia"/>
          <w:sz w:val="24"/>
          <w:szCs w:val="22"/>
        </w:rPr>
      </w:pPr>
      <w:r>
        <w:rPr>
          <w:rFonts w:hint="eastAsia"/>
          <w:sz w:val="24"/>
          <w:szCs w:val="22"/>
        </w:rPr>
        <w:t>5.2.8经磋商确定最终采购需求，由磋商小组采用综合评分法对通过初步评审的响应人的响应文件进行综合评分。</w:t>
      </w:r>
    </w:p>
    <w:p w14:paraId="44A9F917">
      <w:pPr>
        <w:pStyle w:val="3"/>
        <w:spacing w:before="0" w:after="0" w:line="360" w:lineRule="auto"/>
        <w:ind w:left="0" w:right="240"/>
        <w:rPr>
          <w:rFonts w:hint="eastAsia" w:ascii="宋体" w:hAnsi="宋体" w:eastAsia="宋体" w:cs="宋体"/>
        </w:rPr>
      </w:pPr>
      <w:bookmarkStart w:id="161" w:name="_Toc495424135"/>
      <w:bookmarkStart w:id="162" w:name="_Toc495424868"/>
      <w:bookmarkStart w:id="163" w:name="_Toc495425074"/>
      <w:bookmarkStart w:id="164" w:name="_Toc8406"/>
      <w:r>
        <w:rPr>
          <w:rFonts w:hint="eastAsia" w:ascii="宋体" w:hAnsi="宋体" w:eastAsia="宋体" w:cs="宋体"/>
        </w:rPr>
        <w:t>6. 磋商小组</w:t>
      </w:r>
      <w:bookmarkEnd w:id="161"/>
      <w:bookmarkEnd w:id="162"/>
      <w:bookmarkEnd w:id="163"/>
      <w:bookmarkEnd w:id="164"/>
    </w:p>
    <w:p w14:paraId="54597BA7">
      <w:pPr>
        <w:bidi w:val="0"/>
        <w:rPr>
          <w:rFonts w:hint="eastAsia"/>
          <w:sz w:val="24"/>
          <w:szCs w:val="22"/>
        </w:rPr>
      </w:pPr>
      <w:bookmarkStart w:id="165" w:name="_Toc495424136"/>
      <w:bookmarkStart w:id="166" w:name="_Toc495424869"/>
      <w:bookmarkStart w:id="167" w:name="_Toc15031"/>
      <w:bookmarkStart w:id="168" w:name="_Toc495425075"/>
      <w:r>
        <w:rPr>
          <w:rFonts w:hint="eastAsia"/>
          <w:sz w:val="24"/>
          <w:szCs w:val="22"/>
        </w:rPr>
        <w:t>6.1 磋商小组</w:t>
      </w:r>
      <w:bookmarkEnd w:id="165"/>
      <w:bookmarkEnd w:id="166"/>
      <w:bookmarkEnd w:id="167"/>
      <w:bookmarkEnd w:id="168"/>
    </w:p>
    <w:p w14:paraId="35A1FE5C">
      <w:pPr>
        <w:bidi w:val="0"/>
        <w:rPr>
          <w:rFonts w:hint="eastAsia"/>
          <w:sz w:val="24"/>
          <w:szCs w:val="22"/>
        </w:rPr>
      </w:pPr>
      <w:r>
        <w:rPr>
          <w:rFonts w:hint="eastAsia"/>
          <w:sz w:val="24"/>
          <w:szCs w:val="22"/>
        </w:rPr>
        <w:t>磋商由采购人依法组建的磋商小组负责。磋商小组由采购人代表组成。磋商小组成员确定方式见响应人须知前附表。</w:t>
      </w:r>
    </w:p>
    <w:p w14:paraId="2A5F3E9A">
      <w:pPr>
        <w:bidi w:val="0"/>
        <w:rPr>
          <w:rFonts w:hint="eastAsia"/>
          <w:sz w:val="24"/>
          <w:szCs w:val="22"/>
        </w:rPr>
      </w:pPr>
      <w:bookmarkStart w:id="169" w:name="_Toc25968"/>
      <w:bookmarkStart w:id="170" w:name="_Toc495424870"/>
      <w:bookmarkStart w:id="171" w:name="_Toc495424137"/>
      <w:bookmarkStart w:id="172" w:name="_Toc495425076"/>
      <w:r>
        <w:rPr>
          <w:rFonts w:hint="eastAsia"/>
          <w:sz w:val="24"/>
          <w:szCs w:val="22"/>
        </w:rPr>
        <w:t>6.2 磋商原则</w:t>
      </w:r>
      <w:bookmarkEnd w:id="169"/>
      <w:bookmarkEnd w:id="170"/>
      <w:bookmarkEnd w:id="171"/>
      <w:bookmarkEnd w:id="172"/>
    </w:p>
    <w:p w14:paraId="59A46EE3">
      <w:pPr>
        <w:bidi w:val="0"/>
        <w:rPr>
          <w:rFonts w:hint="eastAsia"/>
          <w:sz w:val="24"/>
          <w:szCs w:val="22"/>
        </w:rPr>
      </w:pPr>
      <w:r>
        <w:rPr>
          <w:rFonts w:hint="eastAsia"/>
          <w:sz w:val="24"/>
          <w:szCs w:val="22"/>
        </w:rPr>
        <w:t>磋商活动遵循公平、公正、科学和择优的原则。</w:t>
      </w:r>
    </w:p>
    <w:p w14:paraId="63151FA1">
      <w:pPr>
        <w:bidi w:val="0"/>
        <w:rPr>
          <w:rFonts w:hint="eastAsia"/>
          <w:sz w:val="24"/>
          <w:szCs w:val="22"/>
        </w:rPr>
      </w:pPr>
      <w:bookmarkStart w:id="173" w:name="_Toc495424871"/>
      <w:bookmarkStart w:id="174" w:name="_Toc495424138"/>
      <w:bookmarkStart w:id="175" w:name="_Toc2073"/>
      <w:bookmarkStart w:id="176" w:name="_Toc495425077"/>
      <w:r>
        <w:rPr>
          <w:rFonts w:hint="eastAsia"/>
          <w:sz w:val="24"/>
          <w:szCs w:val="22"/>
        </w:rPr>
        <w:t>6.3 磋商</w:t>
      </w:r>
      <w:bookmarkEnd w:id="173"/>
      <w:bookmarkEnd w:id="174"/>
      <w:bookmarkEnd w:id="175"/>
      <w:bookmarkEnd w:id="176"/>
    </w:p>
    <w:p w14:paraId="6A6030FC">
      <w:pPr>
        <w:bidi w:val="0"/>
        <w:rPr>
          <w:rFonts w:hint="eastAsia"/>
          <w:sz w:val="24"/>
          <w:szCs w:val="22"/>
        </w:rPr>
      </w:pPr>
      <w:r>
        <w:rPr>
          <w:rFonts w:hint="eastAsia"/>
          <w:sz w:val="24"/>
          <w:szCs w:val="22"/>
        </w:rPr>
        <w:t>磋商小组按照第三章“评审办法”规定的方法、评审因素、标准和程序对响应文件进行评审。第三章“评审办法”没有规定的方法、评审因素和标准，不作为磋商依据。</w:t>
      </w:r>
    </w:p>
    <w:p w14:paraId="5C850313">
      <w:pPr>
        <w:pStyle w:val="3"/>
        <w:spacing w:before="0" w:after="0" w:line="360" w:lineRule="auto"/>
        <w:ind w:left="0" w:right="240"/>
        <w:rPr>
          <w:rFonts w:hint="eastAsia" w:ascii="宋体" w:hAnsi="宋体" w:eastAsia="宋体" w:cs="宋体"/>
        </w:rPr>
      </w:pPr>
      <w:bookmarkStart w:id="177" w:name="_Toc495424139"/>
      <w:bookmarkStart w:id="178" w:name="_Toc495424872"/>
      <w:bookmarkStart w:id="179" w:name="_Toc5333"/>
      <w:bookmarkStart w:id="180" w:name="_Toc495425078"/>
      <w:r>
        <w:rPr>
          <w:rFonts w:hint="eastAsia" w:ascii="宋体" w:hAnsi="宋体" w:eastAsia="宋体" w:cs="宋体"/>
        </w:rPr>
        <w:t>7. 合同授予</w:t>
      </w:r>
      <w:bookmarkEnd w:id="177"/>
      <w:bookmarkEnd w:id="178"/>
      <w:bookmarkEnd w:id="179"/>
      <w:bookmarkEnd w:id="180"/>
    </w:p>
    <w:p w14:paraId="7CEC0AA0">
      <w:pPr>
        <w:bidi w:val="0"/>
        <w:rPr>
          <w:rFonts w:hint="eastAsia"/>
          <w:sz w:val="24"/>
          <w:szCs w:val="22"/>
        </w:rPr>
      </w:pPr>
      <w:bookmarkStart w:id="181" w:name="_Toc495424873"/>
      <w:bookmarkStart w:id="182" w:name="_Toc495424140"/>
      <w:bookmarkStart w:id="183" w:name="_Toc495425079"/>
      <w:bookmarkStart w:id="184" w:name="_Toc5376"/>
      <w:r>
        <w:rPr>
          <w:rFonts w:hint="eastAsia"/>
          <w:sz w:val="24"/>
          <w:szCs w:val="22"/>
        </w:rPr>
        <w:t>7.1 定标方式</w:t>
      </w:r>
      <w:bookmarkEnd w:id="181"/>
      <w:bookmarkEnd w:id="182"/>
      <w:bookmarkEnd w:id="183"/>
      <w:bookmarkEnd w:id="184"/>
    </w:p>
    <w:p w14:paraId="6099479D">
      <w:pPr>
        <w:bidi w:val="0"/>
        <w:rPr>
          <w:rFonts w:hint="eastAsia"/>
          <w:sz w:val="24"/>
          <w:szCs w:val="22"/>
        </w:rPr>
      </w:pPr>
      <w:r>
        <w:rPr>
          <w:rFonts w:hint="eastAsia"/>
          <w:sz w:val="24"/>
          <w:szCs w:val="22"/>
        </w:rPr>
        <w:t>除响应人须知前附表规定磋商小组直接确定成交人外，采购人依据磋商小组推荐的成交候选人确定成交人，磋商小组推荐成交候选人的人数见响应人须知前附表。采购人将依序确定排名第一的响应人为成交人，若第一成交候选人放弃成交、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p>
    <w:p w14:paraId="2A33935D">
      <w:pPr>
        <w:bidi w:val="0"/>
        <w:rPr>
          <w:rFonts w:hint="eastAsia"/>
          <w:sz w:val="24"/>
          <w:szCs w:val="22"/>
        </w:rPr>
      </w:pPr>
      <w:bookmarkStart w:id="185" w:name="_Toc495424141"/>
      <w:bookmarkStart w:id="186" w:name="_Toc495424874"/>
      <w:bookmarkStart w:id="187" w:name="_Toc17174"/>
      <w:bookmarkStart w:id="188" w:name="_Toc495425080"/>
      <w:r>
        <w:rPr>
          <w:rFonts w:hint="eastAsia"/>
          <w:sz w:val="24"/>
          <w:szCs w:val="22"/>
        </w:rPr>
        <w:t>7.2 成交通知</w:t>
      </w:r>
      <w:bookmarkEnd w:id="185"/>
      <w:bookmarkEnd w:id="186"/>
      <w:bookmarkEnd w:id="187"/>
      <w:bookmarkEnd w:id="188"/>
    </w:p>
    <w:p w14:paraId="78058E5B">
      <w:pPr>
        <w:bidi w:val="0"/>
        <w:rPr>
          <w:rFonts w:hint="eastAsia"/>
          <w:sz w:val="24"/>
          <w:szCs w:val="22"/>
        </w:rPr>
      </w:pPr>
      <w:r>
        <w:rPr>
          <w:rFonts w:hint="eastAsia"/>
          <w:sz w:val="24"/>
          <w:szCs w:val="22"/>
        </w:rPr>
        <w:t>采购人在成交人确定之日起2个工作日内，向成交人发出成交通知书。</w:t>
      </w:r>
    </w:p>
    <w:p w14:paraId="5A37B6C9">
      <w:pPr>
        <w:bidi w:val="0"/>
        <w:rPr>
          <w:rFonts w:hint="eastAsia"/>
          <w:sz w:val="24"/>
          <w:szCs w:val="22"/>
        </w:rPr>
      </w:pPr>
      <w:bookmarkStart w:id="189" w:name="_Toc495424142"/>
      <w:bookmarkStart w:id="190" w:name="_Toc495425081"/>
      <w:bookmarkStart w:id="191" w:name="_Toc21779"/>
      <w:bookmarkStart w:id="192" w:name="_Toc496360159"/>
      <w:bookmarkStart w:id="193" w:name="_Toc495424875"/>
      <w:r>
        <w:rPr>
          <w:rFonts w:hint="eastAsia"/>
          <w:sz w:val="24"/>
          <w:szCs w:val="22"/>
        </w:rPr>
        <w:t>7.</w:t>
      </w:r>
      <w:r>
        <w:rPr>
          <w:rFonts w:hint="eastAsia"/>
          <w:sz w:val="24"/>
          <w:szCs w:val="22"/>
          <w:lang w:val="en-US" w:eastAsia="zh-CN"/>
        </w:rPr>
        <w:t>3</w:t>
      </w:r>
      <w:r>
        <w:rPr>
          <w:rFonts w:hint="eastAsia"/>
          <w:sz w:val="24"/>
          <w:szCs w:val="22"/>
        </w:rPr>
        <w:t xml:space="preserve"> 签订合同</w:t>
      </w:r>
      <w:bookmarkEnd w:id="189"/>
      <w:bookmarkEnd w:id="190"/>
      <w:bookmarkEnd w:id="191"/>
      <w:bookmarkEnd w:id="192"/>
      <w:bookmarkEnd w:id="193"/>
    </w:p>
    <w:p w14:paraId="7D97775A">
      <w:pPr>
        <w:bidi w:val="0"/>
        <w:rPr>
          <w:rFonts w:hint="eastAsia"/>
          <w:sz w:val="24"/>
          <w:szCs w:val="22"/>
        </w:rPr>
      </w:pPr>
      <w:r>
        <w:rPr>
          <w:rFonts w:hint="eastAsia"/>
          <w:sz w:val="24"/>
          <w:szCs w:val="22"/>
        </w:rPr>
        <w:t>采购人和成交人应当自成交通知书发出之日起30日历天内，根据磋商文件和成交人的响应文件订立书面合同。成交人无正当理由拒签合同的，采购人取消其成交资格，其磋商保证金不予退还；给采购人造成的损失超过磋商保证金数额的，成交人还应当对超过部分予以赔偿。</w:t>
      </w:r>
    </w:p>
    <w:p w14:paraId="3ED88366">
      <w:pPr>
        <w:pStyle w:val="3"/>
        <w:numPr>
          <w:ilvl w:val="0"/>
          <w:numId w:val="1"/>
        </w:numPr>
        <w:bidi w:val="0"/>
        <w:rPr>
          <w:rFonts w:hint="eastAsia"/>
        </w:rPr>
      </w:pPr>
      <w:bookmarkStart w:id="194" w:name="_Toc495424876"/>
      <w:bookmarkStart w:id="195" w:name="_Toc495425082"/>
      <w:bookmarkStart w:id="196" w:name="_Toc495424143"/>
      <w:bookmarkStart w:id="197" w:name="_Toc11682"/>
      <w:r>
        <w:rPr>
          <w:rFonts w:hint="eastAsia"/>
        </w:rPr>
        <w:t>重新</w:t>
      </w:r>
      <w:bookmarkEnd w:id="194"/>
      <w:bookmarkEnd w:id="195"/>
      <w:bookmarkEnd w:id="196"/>
      <w:r>
        <w:rPr>
          <w:rFonts w:hint="eastAsia"/>
        </w:rPr>
        <w:t>竞争性磋商</w:t>
      </w:r>
      <w:bookmarkEnd w:id="197"/>
    </w:p>
    <w:p w14:paraId="11A826F9">
      <w:pPr>
        <w:bidi w:val="0"/>
        <w:rPr>
          <w:rFonts w:hint="eastAsia"/>
          <w:sz w:val="24"/>
          <w:szCs w:val="22"/>
        </w:rPr>
      </w:pPr>
      <w:r>
        <w:rPr>
          <w:rFonts w:hint="eastAsia"/>
          <w:sz w:val="24"/>
          <w:szCs w:val="22"/>
        </w:rPr>
        <w:t>有下列情形之一的，采购人将重新竞争性磋商：</w:t>
      </w:r>
    </w:p>
    <w:p w14:paraId="243703AE">
      <w:pPr>
        <w:bidi w:val="0"/>
        <w:rPr>
          <w:rFonts w:hint="eastAsia"/>
          <w:sz w:val="24"/>
          <w:szCs w:val="22"/>
        </w:rPr>
      </w:pPr>
      <w:bookmarkStart w:id="198" w:name="_Toc493269141"/>
      <w:r>
        <w:rPr>
          <w:rFonts w:hint="eastAsia"/>
          <w:sz w:val="24"/>
          <w:szCs w:val="22"/>
        </w:rPr>
        <w:t>（1）提交响应文件截止时间止，响应人少于3个的；</w:t>
      </w:r>
      <w:bookmarkEnd w:id="198"/>
    </w:p>
    <w:p w14:paraId="4BC6EF37">
      <w:pPr>
        <w:bidi w:val="0"/>
        <w:rPr>
          <w:rFonts w:hint="eastAsia"/>
          <w:sz w:val="24"/>
          <w:szCs w:val="22"/>
        </w:rPr>
      </w:pPr>
      <w:r>
        <w:rPr>
          <w:rFonts w:hint="eastAsia"/>
          <w:sz w:val="24"/>
          <w:szCs w:val="22"/>
        </w:rPr>
        <w:t>（2）经磋商小组评审后否决所有响应文件的。</w:t>
      </w:r>
    </w:p>
    <w:p w14:paraId="00C0515A">
      <w:pPr>
        <w:pStyle w:val="3"/>
        <w:bidi w:val="0"/>
        <w:rPr>
          <w:rFonts w:hint="eastAsia"/>
        </w:rPr>
      </w:pPr>
      <w:bookmarkStart w:id="199" w:name="_Toc8840"/>
      <w:bookmarkStart w:id="200" w:name="_Toc495424878"/>
      <w:bookmarkStart w:id="201" w:name="_Toc495425084"/>
      <w:bookmarkStart w:id="202" w:name="_Toc495424145"/>
      <w:r>
        <w:rPr>
          <w:rFonts w:hint="eastAsia"/>
        </w:rPr>
        <w:t>9.</w:t>
      </w:r>
      <w:r>
        <w:rPr>
          <w:rFonts w:hint="eastAsia"/>
          <w:lang w:val="en-US" w:eastAsia="zh-CN"/>
        </w:rPr>
        <w:t xml:space="preserve"> </w:t>
      </w:r>
      <w:r>
        <w:rPr>
          <w:rFonts w:hint="eastAsia"/>
        </w:rPr>
        <w:t>纪律和监督</w:t>
      </w:r>
      <w:bookmarkEnd w:id="199"/>
      <w:bookmarkEnd w:id="200"/>
      <w:bookmarkEnd w:id="201"/>
      <w:bookmarkEnd w:id="202"/>
    </w:p>
    <w:p w14:paraId="6E9C2B76">
      <w:pPr>
        <w:bidi w:val="0"/>
        <w:rPr>
          <w:rFonts w:hint="eastAsia"/>
          <w:sz w:val="24"/>
          <w:szCs w:val="22"/>
        </w:rPr>
      </w:pPr>
      <w:bookmarkStart w:id="203" w:name="_Toc17139"/>
      <w:bookmarkStart w:id="204" w:name="_Toc495424879"/>
      <w:bookmarkStart w:id="205" w:name="_Toc495424146"/>
      <w:bookmarkStart w:id="206" w:name="_Toc495425085"/>
      <w:r>
        <w:rPr>
          <w:rFonts w:hint="eastAsia"/>
          <w:sz w:val="24"/>
          <w:szCs w:val="22"/>
        </w:rPr>
        <w:t>9.1 对采购人的纪律要求</w:t>
      </w:r>
      <w:bookmarkEnd w:id="203"/>
      <w:bookmarkEnd w:id="204"/>
      <w:bookmarkEnd w:id="205"/>
      <w:bookmarkEnd w:id="206"/>
    </w:p>
    <w:p w14:paraId="65ACD68F">
      <w:pPr>
        <w:bidi w:val="0"/>
        <w:rPr>
          <w:rFonts w:hint="eastAsia"/>
          <w:sz w:val="24"/>
          <w:szCs w:val="22"/>
        </w:rPr>
      </w:pPr>
      <w:r>
        <w:rPr>
          <w:rFonts w:hint="eastAsia"/>
          <w:sz w:val="24"/>
          <w:szCs w:val="22"/>
        </w:rPr>
        <w:t>采购人不得泄漏磋商活动中应当保密的情况和资料，不得与响应人串通损害国家利益、社会公共利益或者他人合法权益。</w:t>
      </w:r>
    </w:p>
    <w:p w14:paraId="40B0A503">
      <w:pPr>
        <w:bidi w:val="0"/>
        <w:rPr>
          <w:rFonts w:hint="eastAsia"/>
          <w:sz w:val="24"/>
          <w:szCs w:val="22"/>
        </w:rPr>
      </w:pPr>
      <w:bookmarkStart w:id="207" w:name="_Toc495424880"/>
      <w:bookmarkStart w:id="208" w:name="_Toc13684"/>
      <w:bookmarkStart w:id="209" w:name="_Toc495424147"/>
      <w:bookmarkStart w:id="210" w:name="_Toc495425086"/>
      <w:r>
        <w:rPr>
          <w:rFonts w:hint="eastAsia"/>
          <w:sz w:val="24"/>
          <w:szCs w:val="22"/>
        </w:rPr>
        <w:t>9.2 对响应人的纪律要求</w:t>
      </w:r>
      <w:bookmarkEnd w:id="207"/>
      <w:bookmarkEnd w:id="208"/>
      <w:bookmarkEnd w:id="209"/>
      <w:bookmarkEnd w:id="210"/>
    </w:p>
    <w:p w14:paraId="23521AB3">
      <w:pPr>
        <w:bidi w:val="0"/>
        <w:rPr>
          <w:rFonts w:hint="eastAsia"/>
          <w:sz w:val="24"/>
          <w:szCs w:val="22"/>
        </w:rPr>
      </w:pPr>
      <w:r>
        <w:rPr>
          <w:rFonts w:hint="eastAsia"/>
          <w:sz w:val="24"/>
          <w:szCs w:val="22"/>
        </w:rPr>
        <w:t>响应人不得相互串通或者与采购人串通，不得向采购人或者磋商小组行贿谋取成交，不得以他人名义或者以其他方式弄虚作假骗取成交；响应人不得以任何方式干扰、影响评审工作。</w:t>
      </w:r>
    </w:p>
    <w:p w14:paraId="481D4797">
      <w:pPr>
        <w:bidi w:val="0"/>
        <w:rPr>
          <w:rFonts w:hint="eastAsia"/>
          <w:sz w:val="24"/>
          <w:szCs w:val="22"/>
        </w:rPr>
      </w:pPr>
      <w:bookmarkStart w:id="211" w:name="_Toc495424148"/>
      <w:bookmarkStart w:id="212" w:name="_Toc495425087"/>
      <w:bookmarkStart w:id="213" w:name="_Toc495424881"/>
      <w:bookmarkStart w:id="214" w:name="_Toc3129"/>
      <w:r>
        <w:rPr>
          <w:rFonts w:hint="eastAsia"/>
          <w:sz w:val="24"/>
          <w:szCs w:val="22"/>
        </w:rPr>
        <w:t>9.3 对磋商小组成员的纪律要求</w:t>
      </w:r>
      <w:bookmarkEnd w:id="211"/>
      <w:bookmarkEnd w:id="212"/>
      <w:bookmarkEnd w:id="213"/>
      <w:bookmarkEnd w:id="214"/>
    </w:p>
    <w:p w14:paraId="5B1CE96A">
      <w:pPr>
        <w:bidi w:val="0"/>
        <w:rPr>
          <w:rFonts w:hint="eastAsia"/>
          <w:sz w:val="24"/>
          <w:szCs w:val="22"/>
        </w:rPr>
      </w:pPr>
      <w:r>
        <w:rPr>
          <w:rFonts w:hint="eastAsia"/>
          <w:sz w:val="24"/>
          <w:szCs w:val="22"/>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4E72568C">
      <w:pPr>
        <w:bidi w:val="0"/>
        <w:rPr>
          <w:rFonts w:hint="eastAsia"/>
          <w:sz w:val="24"/>
          <w:szCs w:val="22"/>
        </w:rPr>
      </w:pPr>
      <w:bookmarkStart w:id="215" w:name="_Toc1412"/>
      <w:bookmarkStart w:id="216" w:name="_Toc495425088"/>
      <w:bookmarkStart w:id="217" w:name="_Toc495424882"/>
      <w:bookmarkStart w:id="218" w:name="_Toc495424149"/>
      <w:r>
        <w:rPr>
          <w:rFonts w:hint="eastAsia"/>
          <w:sz w:val="24"/>
          <w:szCs w:val="22"/>
        </w:rPr>
        <w:t>9.4 对与评标活动有关的工作人员的纪律要求</w:t>
      </w:r>
      <w:bookmarkEnd w:id="215"/>
      <w:bookmarkEnd w:id="216"/>
      <w:bookmarkEnd w:id="217"/>
      <w:bookmarkEnd w:id="218"/>
    </w:p>
    <w:p w14:paraId="128CEDFC">
      <w:pPr>
        <w:bidi w:val="0"/>
        <w:rPr>
          <w:rFonts w:hint="eastAsia"/>
          <w:sz w:val="24"/>
          <w:szCs w:val="22"/>
        </w:rPr>
      </w:pPr>
      <w:r>
        <w:rPr>
          <w:rFonts w:hint="eastAsia"/>
          <w:sz w:val="24"/>
          <w:szCs w:val="22"/>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p>
    <w:p w14:paraId="09B2F230">
      <w:pPr>
        <w:bidi w:val="0"/>
        <w:rPr>
          <w:rFonts w:hint="eastAsia"/>
          <w:sz w:val="24"/>
          <w:szCs w:val="22"/>
        </w:rPr>
      </w:pPr>
      <w:bookmarkStart w:id="219" w:name="_Toc18308"/>
      <w:bookmarkStart w:id="220" w:name="_Toc495424150"/>
      <w:bookmarkStart w:id="221" w:name="_Toc495425089"/>
      <w:bookmarkStart w:id="222" w:name="_Toc495424883"/>
      <w:r>
        <w:rPr>
          <w:rFonts w:hint="eastAsia"/>
          <w:sz w:val="24"/>
          <w:szCs w:val="22"/>
        </w:rPr>
        <w:t>9.5 投诉</w:t>
      </w:r>
      <w:bookmarkEnd w:id="219"/>
      <w:bookmarkEnd w:id="220"/>
      <w:bookmarkEnd w:id="221"/>
      <w:bookmarkEnd w:id="222"/>
    </w:p>
    <w:p w14:paraId="7A67E0ED">
      <w:pPr>
        <w:bidi w:val="0"/>
        <w:rPr>
          <w:rFonts w:hint="eastAsia"/>
          <w:sz w:val="24"/>
          <w:szCs w:val="22"/>
        </w:rPr>
      </w:pPr>
      <w:r>
        <w:rPr>
          <w:rFonts w:hint="eastAsia"/>
          <w:sz w:val="24"/>
          <w:szCs w:val="22"/>
        </w:rPr>
        <w:t>响应人和其他利害关系人认为本次磋商活动违反法律、法规和规章规定的，有权向有关行政监督部门投诉。</w:t>
      </w:r>
    </w:p>
    <w:p w14:paraId="1E656B2A">
      <w:pPr>
        <w:pStyle w:val="3"/>
        <w:bidi w:val="0"/>
        <w:rPr>
          <w:rFonts w:hint="eastAsia"/>
        </w:rPr>
      </w:pPr>
      <w:bookmarkStart w:id="223" w:name="_Toc495424151"/>
      <w:bookmarkStart w:id="224" w:name="_Toc495424884"/>
      <w:bookmarkStart w:id="225" w:name="_Toc27872"/>
      <w:bookmarkStart w:id="226" w:name="_Toc495425090"/>
      <w:r>
        <w:rPr>
          <w:rFonts w:hint="eastAsia"/>
        </w:rPr>
        <w:t>10. 需要补充的其他内容</w:t>
      </w:r>
      <w:bookmarkEnd w:id="223"/>
      <w:bookmarkEnd w:id="224"/>
      <w:bookmarkEnd w:id="225"/>
      <w:bookmarkEnd w:id="226"/>
    </w:p>
    <w:p w14:paraId="4962AB22">
      <w:pPr>
        <w:bidi w:val="0"/>
        <w:rPr>
          <w:rFonts w:hint="eastAsia"/>
          <w:sz w:val="24"/>
          <w:szCs w:val="22"/>
        </w:rPr>
      </w:pPr>
      <w:r>
        <w:rPr>
          <w:rFonts w:hint="eastAsia"/>
          <w:sz w:val="24"/>
          <w:szCs w:val="22"/>
        </w:rPr>
        <w:t>需要补充的其他内容：见响应人须知前附表。</w:t>
      </w:r>
    </w:p>
    <w:p w14:paraId="7C782AB4">
      <w:pPr>
        <w:rPr>
          <w:rFonts w:hint="eastAsia"/>
          <w:sz w:val="24"/>
          <w:szCs w:val="22"/>
        </w:rPr>
      </w:pPr>
      <w:r>
        <w:rPr>
          <w:rFonts w:hint="eastAsia"/>
          <w:sz w:val="24"/>
          <w:szCs w:val="22"/>
        </w:rPr>
        <w:br w:type="page"/>
      </w:r>
    </w:p>
    <w:p w14:paraId="0751FF2C">
      <w:pPr>
        <w:pStyle w:val="2"/>
        <w:bidi w:val="0"/>
        <w:rPr>
          <w:rFonts w:hint="eastAsia"/>
        </w:rPr>
      </w:pPr>
      <w:bookmarkStart w:id="227" w:name="_Toc7661"/>
      <w:r>
        <w:rPr>
          <w:rFonts w:hint="eastAsia"/>
        </w:rPr>
        <w:t>第三章 评审办法（综合评分法）</w:t>
      </w:r>
      <w:bookmarkEnd w:id="227"/>
    </w:p>
    <w:p w14:paraId="3E10D41B">
      <w:pPr>
        <w:pStyle w:val="3"/>
        <w:bidi w:val="0"/>
        <w:rPr>
          <w:rFonts w:hint="eastAsia"/>
        </w:rPr>
      </w:pPr>
      <w:bookmarkStart w:id="228" w:name="_Toc30967"/>
      <w:bookmarkStart w:id="229" w:name="_Toc495425092"/>
      <w:bookmarkStart w:id="230" w:name="_Toc495424153"/>
      <w:bookmarkStart w:id="231" w:name="_Toc495424886"/>
      <w:r>
        <w:rPr>
          <w:rFonts w:hint="eastAsia"/>
        </w:rPr>
        <w:t>评标办法前附表</w:t>
      </w:r>
      <w:bookmarkEnd w:id="228"/>
      <w:bookmarkEnd w:id="229"/>
      <w:bookmarkEnd w:id="230"/>
      <w:bookmarkEnd w:id="231"/>
    </w:p>
    <w:tbl>
      <w:tblPr>
        <w:tblStyle w:val="23"/>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
        <w:gridCol w:w="840"/>
        <w:gridCol w:w="2120"/>
        <w:gridCol w:w="1282"/>
        <w:gridCol w:w="3119"/>
        <w:gridCol w:w="1134"/>
      </w:tblGrid>
      <w:tr w14:paraId="32F3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gridSpan w:val="3"/>
            <w:noWrap w:val="0"/>
            <w:vAlign w:val="center"/>
          </w:tcPr>
          <w:p w14:paraId="73E0001F">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条款号</w:t>
            </w:r>
          </w:p>
        </w:tc>
        <w:tc>
          <w:tcPr>
            <w:tcW w:w="2120" w:type="dxa"/>
            <w:noWrap w:val="0"/>
            <w:vAlign w:val="center"/>
          </w:tcPr>
          <w:p w14:paraId="42D2ABB7">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评审因素</w:t>
            </w:r>
          </w:p>
        </w:tc>
        <w:tc>
          <w:tcPr>
            <w:tcW w:w="5535" w:type="dxa"/>
            <w:gridSpan w:val="3"/>
            <w:noWrap w:val="0"/>
            <w:vAlign w:val="center"/>
          </w:tcPr>
          <w:p w14:paraId="0202F5E6">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评审标准</w:t>
            </w:r>
          </w:p>
        </w:tc>
      </w:tr>
      <w:tr w14:paraId="084D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Merge w:val="restart"/>
            <w:noWrap w:val="0"/>
            <w:vAlign w:val="center"/>
          </w:tcPr>
          <w:p w14:paraId="54261970">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2.1.1</w:t>
            </w:r>
          </w:p>
        </w:tc>
        <w:tc>
          <w:tcPr>
            <w:tcW w:w="852" w:type="dxa"/>
            <w:gridSpan w:val="2"/>
            <w:vMerge w:val="restart"/>
            <w:noWrap w:val="0"/>
            <w:vAlign w:val="center"/>
          </w:tcPr>
          <w:p w14:paraId="449DE0B3">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资格性检查评审标准</w:t>
            </w:r>
          </w:p>
        </w:tc>
        <w:tc>
          <w:tcPr>
            <w:tcW w:w="2120" w:type="dxa"/>
            <w:noWrap w:val="0"/>
            <w:vAlign w:val="center"/>
          </w:tcPr>
          <w:p w14:paraId="2A3A1B01">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响应人名称</w:t>
            </w:r>
          </w:p>
        </w:tc>
        <w:tc>
          <w:tcPr>
            <w:tcW w:w="5535" w:type="dxa"/>
            <w:gridSpan w:val="3"/>
            <w:noWrap w:val="0"/>
            <w:vAlign w:val="center"/>
          </w:tcPr>
          <w:p w14:paraId="417B84DF">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与法人或者其他组织的营业执照等证明文件一致</w:t>
            </w:r>
          </w:p>
        </w:tc>
      </w:tr>
      <w:tr w14:paraId="2076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Merge w:val="continue"/>
            <w:noWrap w:val="0"/>
            <w:vAlign w:val="center"/>
          </w:tcPr>
          <w:p w14:paraId="0CA3FEA8">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p>
        </w:tc>
        <w:tc>
          <w:tcPr>
            <w:tcW w:w="852" w:type="dxa"/>
            <w:gridSpan w:val="2"/>
            <w:vMerge w:val="continue"/>
            <w:noWrap w:val="0"/>
            <w:vAlign w:val="center"/>
          </w:tcPr>
          <w:p w14:paraId="0BF5FD4B">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p>
        </w:tc>
        <w:tc>
          <w:tcPr>
            <w:tcW w:w="2120" w:type="dxa"/>
            <w:noWrap w:val="0"/>
            <w:vAlign w:val="center"/>
          </w:tcPr>
          <w:p w14:paraId="0EFF14DE">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响应人资格要求</w:t>
            </w:r>
          </w:p>
        </w:tc>
        <w:tc>
          <w:tcPr>
            <w:tcW w:w="5535" w:type="dxa"/>
            <w:gridSpan w:val="3"/>
            <w:noWrap w:val="0"/>
            <w:vAlign w:val="center"/>
          </w:tcPr>
          <w:p w14:paraId="2E426D6A">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符合第二章“响应人须知”第1.5.1项规定</w:t>
            </w:r>
          </w:p>
        </w:tc>
      </w:tr>
      <w:tr w14:paraId="39F3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Merge w:val="restart"/>
            <w:noWrap w:val="0"/>
            <w:vAlign w:val="center"/>
          </w:tcPr>
          <w:p w14:paraId="67C529A9">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2.1.2</w:t>
            </w:r>
          </w:p>
        </w:tc>
        <w:tc>
          <w:tcPr>
            <w:tcW w:w="852" w:type="dxa"/>
            <w:gridSpan w:val="2"/>
            <w:vMerge w:val="restart"/>
            <w:noWrap w:val="0"/>
            <w:vAlign w:val="center"/>
          </w:tcPr>
          <w:p w14:paraId="25B14BA3">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符合性检查评审标准</w:t>
            </w:r>
          </w:p>
        </w:tc>
        <w:tc>
          <w:tcPr>
            <w:tcW w:w="2120" w:type="dxa"/>
            <w:noWrap w:val="0"/>
            <w:vAlign w:val="center"/>
          </w:tcPr>
          <w:p w14:paraId="1E83211B">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磋商函、磋商函附录</w:t>
            </w:r>
          </w:p>
          <w:p w14:paraId="6BE1D189">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签字和盖章</w:t>
            </w:r>
          </w:p>
        </w:tc>
        <w:tc>
          <w:tcPr>
            <w:tcW w:w="5535" w:type="dxa"/>
            <w:gridSpan w:val="3"/>
            <w:noWrap w:val="0"/>
            <w:vAlign w:val="center"/>
          </w:tcPr>
          <w:p w14:paraId="26463408">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响应文件中磋商函、磋商函附录由响应人的法定代表人或其委托代理人签字或盖章并盖单位公章。委托代理人签字或盖章的，其法定代表人授权委托书须由法定代表人签字或盖章</w:t>
            </w:r>
          </w:p>
        </w:tc>
      </w:tr>
      <w:tr w14:paraId="2FFF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Merge w:val="continue"/>
            <w:noWrap w:val="0"/>
            <w:vAlign w:val="center"/>
          </w:tcPr>
          <w:p w14:paraId="741A3231">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p>
        </w:tc>
        <w:tc>
          <w:tcPr>
            <w:tcW w:w="852" w:type="dxa"/>
            <w:gridSpan w:val="2"/>
            <w:vMerge w:val="continue"/>
            <w:noWrap w:val="0"/>
            <w:vAlign w:val="center"/>
          </w:tcPr>
          <w:p w14:paraId="14A6879E">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p>
        </w:tc>
        <w:tc>
          <w:tcPr>
            <w:tcW w:w="2120" w:type="dxa"/>
            <w:noWrap w:val="0"/>
            <w:vAlign w:val="center"/>
          </w:tcPr>
          <w:p w14:paraId="7777B46C">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报价唯一</w:t>
            </w:r>
          </w:p>
        </w:tc>
        <w:tc>
          <w:tcPr>
            <w:tcW w:w="5535" w:type="dxa"/>
            <w:gridSpan w:val="3"/>
            <w:noWrap w:val="0"/>
            <w:vAlign w:val="center"/>
          </w:tcPr>
          <w:p w14:paraId="49829390">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只能有一个有效报价</w:t>
            </w:r>
          </w:p>
        </w:tc>
      </w:tr>
      <w:tr w14:paraId="218E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Merge w:val="continue"/>
            <w:noWrap w:val="0"/>
            <w:vAlign w:val="center"/>
          </w:tcPr>
          <w:p w14:paraId="746A0E9B">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p>
        </w:tc>
        <w:tc>
          <w:tcPr>
            <w:tcW w:w="852" w:type="dxa"/>
            <w:gridSpan w:val="2"/>
            <w:vMerge w:val="continue"/>
            <w:noWrap w:val="0"/>
            <w:vAlign w:val="center"/>
          </w:tcPr>
          <w:p w14:paraId="7C638C15">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p>
        </w:tc>
        <w:tc>
          <w:tcPr>
            <w:tcW w:w="2120" w:type="dxa"/>
            <w:noWrap w:val="0"/>
            <w:vAlign w:val="center"/>
          </w:tcPr>
          <w:p w14:paraId="2B7F8079">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磋商内容</w:t>
            </w:r>
          </w:p>
        </w:tc>
        <w:tc>
          <w:tcPr>
            <w:tcW w:w="5535" w:type="dxa"/>
            <w:gridSpan w:val="3"/>
            <w:noWrap w:val="0"/>
            <w:vAlign w:val="center"/>
          </w:tcPr>
          <w:p w14:paraId="24B013EE">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符合第二章“响应人须知”第1.4.1项规定</w:t>
            </w:r>
          </w:p>
        </w:tc>
      </w:tr>
      <w:tr w14:paraId="66A8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Merge w:val="continue"/>
            <w:noWrap w:val="0"/>
            <w:vAlign w:val="center"/>
          </w:tcPr>
          <w:p w14:paraId="61C9EF17">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p>
        </w:tc>
        <w:tc>
          <w:tcPr>
            <w:tcW w:w="852" w:type="dxa"/>
            <w:gridSpan w:val="2"/>
            <w:vMerge w:val="continue"/>
            <w:noWrap w:val="0"/>
            <w:vAlign w:val="center"/>
          </w:tcPr>
          <w:p w14:paraId="5A1D23B7">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p>
        </w:tc>
        <w:tc>
          <w:tcPr>
            <w:tcW w:w="2120" w:type="dxa"/>
            <w:noWrap w:val="0"/>
            <w:vAlign w:val="center"/>
          </w:tcPr>
          <w:p w14:paraId="58E3F253">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服务期限</w:t>
            </w:r>
          </w:p>
        </w:tc>
        <w:tc>
          <w:tcPr>
            <w:tcW w:w="5535" w:type="dxa"/>
            <w:gridSpan w:val="3"/>
            <w:noWrap w:val="0"/>
            <w:vAlign w:val="center"/>
          </w:tcPr>
          <w:p w14:paraId="42C85246">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符合第二章“响应人须知”第1.4.</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项规定</w:t>
            </w:r>
          </w:p>
        </w:tc>
      </w:tr>
      <w:tr w14:paraId="0347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Merge w:val="continue"/>
            <w:noWrap w:val="0"/>
            <w:vAlign w:val="center"/>
          </w:tcPr>
          <w:p w14:paraId="008F73C7">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p>
        </w:tc>
        <w:tc>
          <w:tcPr>
            <w:tcW w:w="852" w:type="dxa"/>
            <w:gridSpan w:val="2"/>
            <w:vMerge w:val="continue"/>
            <w:noWrap w:val="0"/>
            <w:vAlign w:val="center"/>
          </w:tcPr>
          <w:p w14:paraId="6DC2A154">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p>
        </w:tc>
        <w:tc>
          <w:tcPr>
            <w:tcW w:w="2120" w:type="dxa"/>
            <w:noWrap w:val="0"/>
            <w:vAlign w:val="center"/>
          </w:tcPr>
          <w:p w14:paraId="3A335B99">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质量保证期</w:t>
            </w:r>
          </w:p>
        </w:tc>
        <w:tc>
          <w:tcPr>
            <w:tcW w:w="5535" w:type="dxa"/>
            <w:gridSpan w:val="3"/>
            <w:noWrap w:val="0"/>
            <w:vAlign w:val="center"/>
          </w:tcPr>
          <w:p w14:paraId="15ED59F4">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符合第二章“响应人须知”第1.4.</w:t>
            </w: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项规定</w:t>
            </w:r>
          </w:p>
        </w:tc>
      </w:tr>
      <w:tr w14:paraId="5AE7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Merge w:val="continue"/>
            <w:noWrap w:val="0"/>
            <w:vAlign w:val="center"/>
          </w:tcPr>
          <w:p w14:paraId="44BAE9FD">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p>
        </w:tc>
        <w:tc>
          <w:tcPr>
            <w:tcW w:w="852" w:type="dxa"/>
            <w:gridSpan w:val="2"/>
            <w:vMerge w:val="continue"/>
            <w:noWrap w:val="0"/>
            <w:vAlign w:val="center"/>
          </w:tcPr>
          <w:p w14:paraId="7512F649">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p>
        </w:tc>
        <w:tc>
          <w:tcPr>
            <w:tcW w:w="2120" w:type="dxa"/>
            <w:noWrap w:val="0"/>
            <w:vAlign w:val="center"/>
          </w:tcPr>
          <w:p w14:paraId="131531C5">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磋商有效期</w:t>
            </w:r>
          </w:p>
        </w:tc>
        <w:tc>
          <w:tcPr>
            <w:tcW w:w="5535" w:type="dxa"/>
            <w:gridSpan w:val="3"/>
            <w:noWrap w:val="0"/>
            <w:vAlign w:val="center"/>
          </w:tcPr>
          <w:p w14:paraId="3AD8E8CF">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符合第二章“响应人须知”第</w:t>
            </w:r>
            <w:r>
              <w:rPr>
                <w:rFonts w:hint="eastAsia" w:ascii="宋体" w:hAnsi="宋体" w:eastAsia="宋体" w:cs="宋体"/>
                <w:b w:val="0"/>
                <w:bCs w:val="0"/>
                <w:color w:val="000000" w:themeColor="text1"/>
                <w:sz w:val="24"/>
                <w:szCs w:val="24"/>
                <w:lang w:val="en-US" w:eastAsia="zh-CN"/>
                <w14:textFill>
                  <w14:solidFill>
                    <w14:schemeClr w14:val="tx1"/>
                  </w14:solidFill>
                </w14:textFill>
              </w:rPr>
              <w:t>3.3.1</w:t>
            </w:r>
            <w:r>
              <w:rPr>
                <w:rFonts w:hint="eastAsia" w:ascii="宋体" w:hAnsi="宋体" w:eastAsia="宋体" w:cs="宋体"/>
                <w:b w:val="0"/>
                <w:bCs w:val="0"/>
                <w:color w:val="000000" w:themeColor="text1"/>
                <w:sz w:val="24"/>
                <w:szCs w:val="24"/>
                <w14:textFill>
                  <w14:solidFill>
                    <w14:schemeClr w14:val="tx1"/>
                  </w14:solidFill>
                </w14:textFill>
              </w:rPr>
              <w:t>项规定</w:t>
            </w:r>
          </w:p>
        </w:tc>
      </w:tr>
      <w:tr w14:paraId="4906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Merge w:val="continue"/>
            <w:noWrap w:val="0"/>
            <w:vAlign w:val="center"/>
          </w:tcPr>
          <w:p w14:paraId="6DB14698">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p>
        </w:tc>
        <w:tc>
          <w:tcPr>
            <w:tcW w:w="852" w:type="dxa"/>
            <w:gridSpan w:val="2"/>
            <w:vMerge w:val="continue"/>
            <w:noWrap w:val="0"/>
            <w:vAlign w:val="center"/>
          </w:tcPr>
          <w:p w14:paraId="5E932E02">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p>
        </w:tc>
        <w:tc>
          <w:tcPr>
            <w:tcW w:w="2120" w:type="dxa"/>
            <w:noWrap w:val="0"/>
            <w:vAlign w:val="center"/>
          </w:tcPr>
          <w:p w14:paraId="3EEEE636">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磋商价格</w:t>
            </w:r>
          </w:p>
        </w:tc>
        <w:tc>
          <w:tcPr>
            <w:tcW w:w="5535" w:type="dxa"/>
            <w:gridSpan w:val="3"/>
            <w:noWrap w:val="0"/>
            <w:vAlign w:val="center"/>
          </w:tcPr>
          <w:p w14:paraId="6B224206">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低于（含等于）第二章“响应人须知”前附表第10.1款载明的最高磋商限价</w:t>
            </w:r>
          </w:p>
        </w:tc>
      </w:tr>
      <w:tr w14:paraId="7E9C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gridSpan w:val="3"/>
            <w:noWrap w:val="0"/>
            <w:vAlign w:val="center"/>
          </w:tcPr>
          <w:p w14:paraId="3C5AB21C">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条款号</w:t>
            </w:r>
          </w:p>
        </w:tc>
        <w:tc>
          <w:tcPr>
            <w:tcW w:w="2120" w:type="dxa"/>
            <w:noWrap w:val="0"/>
            <w:vAlign w:val="center"/>
          </w:tcPr>
          <w:p w14:paraId="4BF1BD0D">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条款内容</w:t>
            </w:r>
          </w:p>
        </w:tc>
        <w:tc>
          <w:tcPr>
            <w:tcW w:w="5535" w:type="dxa"/>
            <w:gridSpan w:val="3"/>
            <w:noWrap w:val="0"/>
            <w:vAlign w:val="center"/>
          </w:tcPr>
          <w:p w14:paraId="4BE0EC6E">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编列内容</w:t>
            </w:r>
          </w:p>
        </w:tc>
      </w:tr>
      <w:tr w14:paraId="0162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2" w:type="dxa"/>
            <w:gridSpan w:val="3"/>
            <w:noWrap w:val="0"/>
            <w:vAlign w:val="center"/>
          </w:tcPr>
          <w:p w14:paraId="0C250520">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详细磋商</w:t>
            </w:r>
          </w:p>
        </w:tc>
        <w:tc>
          <w:tcPr>
            <w:tcW w:w="7655" w:type="dxa"/>
            <w:gridSpan w:val="4"/>
            <w:noWrap w:val="0"/>
            <w:vAlign w:val="center"/>
          </w:tcPr>
          <w:p w14:paraId="21226008">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磋商小组根据本章第3.2款内容集中与单一响应人分别进行磋商，</w:t>
            </w:r>
            <w:r>
              <w:rPr>
                <w:rFonts w:hint="eastAsia" w:ascii="宋体" w:hAnsi="宋体" w:eastAsia="宋体" w:cs="宋体"/>
                <w:b w:val="0"/>
                <w:bCs w:val="0"/>
                <w:color w:val="000000" w:themeColor="text1"/>
                <w:sz w:val="24"/>
                <w:szCs w:val="24"/>
                <w14:textFill>
                  <w14:solidFill>
                    <w14:schemeClr w14:val="tx1"/>
                  </w14:solidFill>
                </w14:textFill>
              </w:rPr>
              <w:t>磋商结束后，并要求其在规定时间内提交最后报价。</w:t>
            </w:r>
          </w:p>
          <w:p w14:paraId="4EB5100F">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响应人对所参加磋商项目根据市场行情自主报价，分二次报价（情况特殊,经磋商小组根据磋商现场情况，可以要求响应人适当进行多轮报价），一次报价须按照磋商文件的报价格式填报，第二次报价在磋商中填报（</w:t>
            </w:r>
            <w:r>
              <w:rPr>
                <w:rFonts w:hint="eastAsia" w:ascii="宋体" w:hAnsi="宋体" w:eastAsia="宋体" w:cs="宋体"/>
                <w:b w:val="0"/>
                <w:bCs w:val="0"/>
                <w:color w:val="000000" w:themeColor="text1"/>
                <w:sz w:val="24"/>
                <w:szCs w:val="24"/>
                <w14:textFill>
                  <w14:solidFill>
                    <w14:schemeClr w14:val="tx1"/>
                  </w14:solidFill>
                </w14:textFill>
              </w:rPr>
              <w:t>注：最后报价明显低于成本价的，响应人需做出合理说明，否则将承担不被接受的风险。</w:t>
            </w:r>
          </w:p>
          <w:p w14:paraId="0569C65D">
            <w:pPr>
              <w:keepNext w:val="0"/>
              <w:keepLines w:val="0"/>
              <w:pageBreakBefore w:val="0"/>
              <w:widowControl w:val="0"/>
              <w:kinsoku/>
              <w:wordWrap/>
              <w:overflowPunct/>
              <w:topLinePunct w:val="0"/>
              <w:bidi w:val="0"/>
              <w:adjustRightInd w:val="0"/>
              <w:snapToGrid/>
              <w:spacing w:line="360" w:lineRule="auto"/>
              <w:ind w:firstLine="0" w:firstLineChars="0"/>
              <w:jc w:val="left"/>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经磋商确定最终采购需求和提交最后报价的响应人后，由磋商小组采用综合评分法对提交最后报价的响应人的响应文件和最后报价按照本章第2.2款内容进行详细性评审。</w:t>
            </w:r>
          </w:p>
        </w:tc>
      </w:tr>
      <w:tr w14:paraId="3923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2" w:type="dxa"/>
            <w:gridSpan w:val="3"/>
            <w:noWrap w:val="0"/>
            <w:vAlign w:val="center"/>
          </w:tcPr>
          <w:p w14:paraId="28DEB81B">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2.2.1</w:t>
            </w:r>
          </w:p>
        </w:tc>
        <w:tc>
          <w:tcPr>
            <w:tcW w:w="2120" w:type="dxa"/>
            <w:noWrap w:val="0"/>
            <w:vAlign w:val="center"/>
          </w:tcPr>
          <w:p w14:paraId="06357148">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分值构成</w:t>
            </w:r>
          </w:p>
          <w:p w14:paraId="5177E754">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（总分100分）</w:t>
            </w:r>
          </w:p>
        </w:tc>
        <w:tc>
          <w:tcPr>
            <w:tcW w:w="5535" w:type="dxa"/>
            <w:gridSpan w:val="3"/>
            <w:noWrap w:val="0"/>
            <w:vAlign w:val="center"/>
          </w:tcPr>
          <w:p w14:paraId="2F621D21">
            <w:pPr>
              <w:keepNext w:val="0"/>
              <w:keepLines w:val="0"/>
              <w:pageBreakBefore w:val="0"/>
              <w:widowControl w:val="0"/>
              <w:kinsoku/>
              <w:wordWrap/>
              <w:overflowPunct/>
              <w:topLinePunct w:val="0"/>
              <w:bidi w:val="0"/>
              <w:adjustRightInd w:val="0"/>
              <w:snapToGrid/>
              <w:spacing w:line="360" w:lineRule="auto"/>
              <w:ind w:firstLine="0" w:firstLineChars="0"/>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报价部分：</w:t>
            </w: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0分</w:t>
            </w:r>
          </w:p>
          <w:p w14:paraId="4F3C10C1">
            <w:pPr>
              <w:keepNext w:val="0"/>
              <w:keepLines w:val="0"/>
              <w:pageBreakBefore w:val="0"/>
              <w:widowControl w:val="0"/>
              <w:kinsoku/>
              <w:wordWrap/>
              <w:overflowPunct/>
              <w:topLinePunct w:val="0"/>
              <w:bidi w:val="0"/>
              <w:adjustRightInd w:val="0"/>
              <w:snapToGrid/>
              <w:spacing w:line="360" w:lineRule="auto"/>
              <w:ind w:firstLine="0" w:firstLineChars="0"/>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商务部分：</w:t>
            </w:r>
            <w:r>
              <w:rPr>
                <w:rFonts w:hint="eastAsia" w:cs="宋体"/>
                <w:b w:val="0"/>
                <w:bCs w:val="0"/>
                <w:color w:val="000000" w:themeColor="text1"/>
                <w:sz w:val="24"/>
                <w:szCs w:val="24"/>
                <w:lang w:val="en-US" w:eastAsia="zh-CN"/>
                <w14:textFill>
                  <w14:solidFill>
                    <w14:schemeClr w14:val="tx1"/>
                  </w14:solidFill>
                </w14:textFill>
              </w:rPr>
              <w:t>30</w:t>
            </w:r>
            <w:r>
              <w:rPr>
                <w:rFonts w:hint="eastAsia" w:ascii="宋体" w:hAnsi="宋体" w:eastAsia="宋体" w:cs="宋体"/>
                <w:b w:val="0"/>
                <w:bCs w:val="0"/>
                <w:color w:val="000000" w:themeColor="text1"/>
                <w:sz w:val="24"/>
                <w:szCs w:val="24"/>
                <w14:textFill>
                  <w14:solidFill>
                    <w14:schemeClr w14:val="tx1"/>
                  </w14:solidFill>
                </w14:textFill>
              </w:rPr>
              <w:t>分</w:t>
            </w:r>
          </w:p>
          <w:p w14:paraId="495696E0">
            <w:pPr>
              <w:keepNext w:val="0"/>
              <w:keepLines w:val="0"/>
              <w:pageBreakBefore w:val="0"/>
              <w:widowControl w:val="0"/>
              <w:kinsoku/>
              <w:wordWrap/>
              <w:overflowPunct/>
              <w:topLinePunct w:val="0"/>
              <w:bidi w:val="0"/>
              <w:adjustRightInd w:val="0"/>
              <w:snapToGrid/>
              <w:spacing w:line="360" w:lineRule="auto"/>
              <w:ind w:firstLine="0" w:firstLineChars="0"/>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技术部分：</w:t>
            </w:r>
            <w:r>
              <w:rPr>
                <w:rFonts w:hint="eastAsia" w:cs="宋体"/>
                <w:b w:val="0"/>
                <w:bCs w:val="0"/>
                <w:color w:val="000000" w:themeColor="text1"/>
                <w:sz w:val="24"/>
                <w:szCs w:val="24"/>
                <w:lang w:val="en-US" w:eastAsia="zh-CN"/>
                <w14:textFill>
                  <w14:solidFill>
                    <w14:schemeClr w14:val="tx1"/>
                  </w14:solidFill>
                </w14:textFill>
              </w:rPr>
              <w:t>30</w:t>
            </w:r>
            <w:r>
              <w:rPr>
                <w:rFonts w:hint="eastAsia" w:ascii="宋体" w:hAnsi="宋体" w:eastAsia="宋体" w:cs="宋体"/>
                <w:b w:val="0"/>
                <w:bCs w:val="0"/>
                <w:color w:val="000000" w:themeColor="text1"/>
                <w:sz w:val="24"/>
                <w:szCs w:val="24"/>
                <w14:textFill>
                  <w14:solidFill>
                    <w14:schemeClr w14:val="tx1"/>
                  </w14:solidFill>
                </w14:textFill>
              </w:rPr>
              <w:t>分</w:t>
            </w:r>
          </w:p>
        </w:tc>
      </w:tr>
      <w:tr w14:paraId="743A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02" w:type="dxa"/>
            <w:gridSpan w:val="3"/>
            <w:noWrap w:val="0"/>
            <w:vAlign w:val="center"/>
          </w:tcPr>
          <w:p w14:paraId="00520E18">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条款号</w:t>
            </w:r>
          </w:p>
        </w:tc>
        <w:tc>
          <w:tcPr>
            <w:tcW w:w="2120" w:type="dxa"/>
            <w:noWrap w:val="0"/>
            <w:vAlign w:val="center"/>
          </w:tcPr>
          <w:p w14:paraId="724E273A">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评分因素</w:t>
            </w:r>
          </w:p>
        </w:tc>
        <w:tc>
          <w:tcPr>
            <w:tcW w:w="1282" w:type="dxa"/>
            <w:noWrap w:val="0"/>
            <w:vAlign w:val="center"/>
          </w:tcPr>
          <w:p w14:paraId="33FD207F">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标准分</w:t>
            </w:r>
          </w:p>
        </w:tc>
        <w:tc>
          <w:tcPr>
            <w:tcW w:w="3119" w:type="dxa"/>
            <w:noWrap w:val="0"/>
            <w:vAlign w:val="center"/>
          </w:tcPr>
          <w:p w14:paraId="21132CE0">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评分标准</w:t>
            </w:r>
          </w:p>
        </w:tc>
        <w:tc>
          <w:tcPr>
            <w:tcW w:w="1134" w:type="dxa"/>
            <w:noWrap w:val="0"/>
            <w:vAlign w:val="center"/>
          </w:tcPr>
          <w:p w14:paraId="1F041FB0">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得分（m）</w:t>
            </w:r>
          </w:p>
        </w:tc>
      </w:tr>
      <w:tr w14:paraId="7EA8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62" w:type="dxa"/>
            <w:gridSpan w:val="2"/>
            <w:vMerge w:val="restart"/>
            <w:noWrap w:val="0"/>
            <w:vAlign w:val="center"/>
          </w:tcPr>
          <w:p w14:paraId="23E365D9">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2.2.2（1）</w:t>
            </w:r>
          </w:p>
        </w:tc>
        <w:tc>
          <w:tcPr>
            <w:tcW w:w="840" w:type="dxa"/>
            <w:vMerge w:val="restart"/>
            <w:noWrap w:val="0"/>
            <w:vAlign w:val="center"/>
          </w:tcPr>
          <w:p w14:paraId="55F5E7AE">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报价部分评审标准（</w:t>
            </w:r>
            <w:r>
              <w:rPr>
                <w:rFonts w:hint="eastAsia" w:ascii="宋体" w:hAnsi="宋体" w:eastAsia="宋体" w:cs="宋体"/>
                <w:b w:val="0"/>
                <w:bCs w:val="0"/>
                <w:color w:val="000000" w:themeColor="text1"/>
                <w:sz w:val="24"/>
                <w:szCs w:val="24"/>
                <w:lang w:val="en-US" w:eastAsia="zh-CN"/>
                <w14:textFill>
                  <w14:solidFill>
                    <w14:schemeClr w14:val="tx1"/>
                  </w14:solidFill>
                </w14:textFill>
              </w:rPr>
              <w:t>40</w:t>
            </w:r>
            <w:r>
              <w:rPr>
                <w:rFonts w:hint="eastAsia" w:ascii="宋体" w:hAnsi="宋体" w:eastAsia="宋体" w:cs="宋体"/>
                <w:b w:val="0"/>
                <w:bCs w:val="0"/>
                <w:color w:val="000000" w:themeColor="text1"/>
                <w:sz w:val="24"/>
                <w:szCs w:val="24"/>
                <w14:textFill>
                  <w14:solidFill>
                    <w14:schemeClr w14:val="tx1"/>
                  </w14:solidFill>
                </w14:textFill>
              </w:rPr>
              <w:t>分）</w:t>
            </w:r>
          </w:p>
        </w:tc>
        <w:tc>
          <w:tcPr>
            <w:tcW w:w="2120" w:type="dxa"/>
            <w:noWrap w:val="0"/>
            <w:vAlign w:val="center"/>
          </w:tcPr>
          <w:p w14:paraId="458BC3F0">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评标基准价计算方法</w:t>
            </w:r>
          </w:p>
        </w:tc>
        <w:tc>
          <w:tcPr>
            <w:tcW w:w="5535" w:type="dxa"/>
            <w:gridSpan w:val="3"/>
            <w:noWrap w:val="0"/>
            <w:vAlign w:val="center"/>
          </w:tcPr>
          <w:p w14:paraId="57E5C9B4">
            <w:pPr>
              <w:keepNext w:val="0"/>
              <w:keepLines w:val="0"/>
              <w:pageBreakBefore w:val="0"/>
              <w:widowControl w:val="0"/>
              <w:kinsoku/>
              <w:wordWrap/>
              <w:overflowPunct/>
              <w:topLinePunct w:val="0"/>
              <w:bidi w:val="0"/>
              <w:adjustRightInd w:val="0"/>
              <w:snapToGrid/>
              <w:spacing w:line="360" w:lineRule="auto"/>
              <w:ind w:firstLine="0" w:firstLineChars="0"/>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本项目以满足磋商文件要求且报价最低的最后</w:t>
            </w:r>
            <w:r>
              <w:rPr>
                <w:rFonts w:hint="eastAsia" w:ascii="宋体" w:hAnsi="宋体" w:eastAsia="宋体" w:cs="宋体"/>
                <w:b w:val="0"/>
                <w:bCs w:val="0"/>
                <w:color w:val="000000" w:themeColor="text1"/>
                <w:sz w:val="24"/>
                <w:szCs w:val="24"/>
                <w:lang w:val="en-US" w:eastAsia="zh-CN"/>
                <w14:textFill>
                  <w14:solidFill>
                    <w14:schemeClr w14:val="tx1"/>
                  </w14:solidFill>
                </w14:textFill>
              </w:rPr>
              <w:t>评标</w:t>
            </w:r>
            <w:r>
              <w:rPr>
                <w:rFonts w:hint="eastAsia" w:ascii="宋体" w:hAnsi="宋体" w:eastAsia="宋体" w:cs="宋体"/>
                <w:b w:val="0"/>
                <w:bCs w:val="0"/>
                <w:color w:val="000000" w:themeColor="text1"/>
                <w:sz w:val="24"/>
                <w:szCs w:val="24"/>
                <w14:textFill>
                  <w14:solidFill>
                    <w14:schemeClr w14:val="tx1"/>
                  </w14:solidFill>
                </w14:textFill>
              </w:rPr>
              <w:t>价为基准价，其价格分为满分</w:t>
            </w:r>
          </w:p>
        </w:tc>
      </w:tr>
      <w:tr w14:paraId="6763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62" w:type="dxa"/>
            <w:gridSpan w:val="2"/>
            <w:vMerge w:val="continue"/>
            <w:noWrap w:val="0"/>
            <w:vAlign w:val="center"/>
          </w:tcPr>
          <w:p w14:paraId="3AF32FC2">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p>
        </w:tc>
        <w:tc>
          <w:tcPr>
            <w:tcW w:w="840" w:type="dxa"/>
            <w:vMerge w:val="continue"/>
            <w:noWrap w:val="0"/>
            <w:vAlign w:val="center"/>
          </w:tcPr>
          <w:p w14:paraId="3229D8E7">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2120" w:type="dxa"/>
            <w:noWrap w:val="0"/>
            <w:vAlign w:val="center"/>
          </w:tcPr>
          <w:p w14:paraId="43AB5360">
            <w:pPr>
              <w:keepNext w:val="0"/>
              <w:keepLines w:val="0"/>
              <w:pageBreakBefore w:val="0"/>
              <w:widowControl w:val="0"/>
              <w:kinsoku/>
              <w:wordWrap/>
              <w:overflowPunct/>
              <w:topLinePunct w:val="0"/>
              <w:bidi w:val="0"/>
              <w:adjustRightInd w:val="0"/>
              <w:snapToGrid/>
              <w:spacing w:line="360" w:lineRule="auto"/>
              <w:ind w:firstLine="0" w:firstLineChars="0"/>
              <w:textAlignment w:val="baseline"/>
              <w:rPr>
                <w:rFonts w:hint="eastAsia" w:ascii="宋体" w:hAnsi="宋体" w:eastAsia="宋体" w:cs="宋体"/>
                <w:b w:val="0"/>
                <w:bCs w:val="0"/>
                <w:color w:val="000000" w:themeColor="text1"/>
                <w:sz w:val="24"/>
                <w:szCs w:val="24"/>
                <w14:textFill>
                  <w14:solidFill>
                    <w14:schemeClr w14:val="tx1"/>
                  </w14:solidFill>
                </w14:textFill>
              </w:rPr>
            </w:pPr>
          </w:p>
          <w:p w14:paraId="638FD868">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磋商报价（</w:t>
            </w: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0分）</w:t>
            </w:r>
          </w:p>
        </w:tc>
        <w:tc>
          <w:tcPr>
            <w:tcW w:w="4401" w:type="dxa"/>
            <w:gridSpan w:val="2"/>
            <w:noWrap w:val="0"/>
            <w:vAlign w:val="center"/>
          </w:tcPr>
          <w:p w14:paraId="1A67E63F">
            <w:pPr>
              <w:pStyle w:val="28"/>
              <w:keepNext w:val="0"/>
              <w:keepLines w:val="0"/>
              <w:pageBreakBefore w:val="0"/>
              <w:widowControl w:val="0"/>
              <w:kinsoku/>
              <w:wordWrap/>
              <w:overflowPunct/>
              <w:topLinePunct w:val="0"/>
              <w:bidi w:val="0"/>
              <w:snapToGrid/>
              <w:spacing w:before="0" w:beforeLines="0" w:after="0" w:afterLines="0" w:line="360" w:lineRule="auto"/>
              <w:ind w:firstLine="0" w:firstLineChars="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其他供应商的价格分统一按照下列公式计算：</w:t>
            </w:r>
          </w:p>
          <w:p w14:paraId="60FD811F">
            <w:pPr>
              <w:pStyle w:val="28"/>
              <w:keepNext w:val="0"/>
              <w:keepLines w:val="0"/>
              <w:pageBreakBefore w:val="0"/>
              <w:widowControl w:val="0"/>
              <w:kinsoku/>
              <w:wordWrap/>
              <w:overflowPunct/>
              <w:topLinePunct w:val="0"/>
              <w:bidi w:val="0"/>
              <w:snapToGrid/>
              <w:spacing w:before="0" w:beforeLines="0" w:after="0" w:afterLines="0" w:line="360" w:lineRule="auto"/>
              <w:ind w:firstLine="0" w:firstLineChars="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最后磋商报价得分=(基准报价／最终评标价)×</w:t>
            </w: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0分。</w:t>
            </w:r>
          </w:p>
        </w:tc>
        <w:tc>
          <w:tcPr>
            <w:tcW w:w="1134" w:type="dxa"/>
            <w:noWrap w:val="0"/>
            <w:vAlign w:val="center"/>
          </w:tcPr>
          <w:p w14:paraId="16599BD6">
            <w:pPr>
              <w:keepNext w:val="0"/>
              <w:keepLines w:val="0"/>
              <w:pageBreakBefore w:val="0"/>
              <w:widowControl w:val="0"/>
              <w:kinsoku/>
              <w:wordWrap/>
              <w:overflowPunct/>
              <w:topLinePunct w:val="0"/>
              <w:bidi w:val="0"/>
              <w:adjustRightInd w:val="0"/>
              <w:snapToGrid/>
              <w:spacing w:line="360" w:lineRule="auto"/>
              <w:ind w:firstLine="0" w:firstLineChars="0"/>
              <w:jc w:val="center"/>
              <w:textAlignment w:val="baseline"/>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0≤m≤</w:t>
            </w: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0</w:t>
            </w:r>
          </w:p>
        </w:tc>
      </w:tr>
      <w:tr w14:paraId="3928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62" w:type="dxa"/>
            <w:gridSpan w:val="2"/>
            <w:vMerge w:val="restart"/>
            <w:noWrap w:val="0"/>
            <w:vAlign w:val="center"/>
          </w:tcPr>
          <w:p w14:paraId="5D02EE91">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2.2.2（2）</w:t>
            </w:r>
          </w:p>
        </w:tc>
        <w:tc>
          <w:tcPr>
            <w:tcW w:w="840" w:type="dxa"/>
            <w:vMerge w:val="restart"/>
            <w:noWrap w:val="0"/>
            <w:vAlign w:val="center"/>
          </w:tcPr>
          <w:p w14:paraId="0A6ECDC1">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商务部分评审标准（</w:t>
            </w:r>
            <w:r>
              <w:rPr>
                <w:rFonts w:hint="eastAsia" w:cs="宋体"/>
                <w:b w:val="0"/>
                <w:bCs w:val="0"/>
                <w:color w:val="000000" w:themeColor="text1"/>
                <w:sz w:val="24"/>
                <w:szCs w:val="24"/>
                <w:lang w:val="en-US" w:eastAsia="zh-CN"/>
                <w14:textFill>
                  <w14:solidFill>
                    <w14:schemeClr w14:val="tx1"/>
                  </w14:solidFill>
                </w14:textFill>
              </w:rPr>
              <w:t>30</w:t>
            </w:r>
            <w:r>
              <w:rPr>
                <w:rFonts w:hint="eastAsia" w:ascii="宋体" w:hAnsi="宋体" w:eastAsia="宋体" w:cs="宋体"/>
                <w:b w:val="0"/>
                <w:bCs w:val="0"/>
                <w:color w:val="000000" w:themeColor="text1"/>
                <w:sz w:val="24"/>
                <w:szCs w:val="24"/>
                <w14:textFill>
                  <w14:solidFill>
                    <w14:schemeClr w14:val="tx1"/>
                  </w14:solidFill>
                </w14:textFill>
              </w:rPr>
              <w:t>分）</w:t>
            </w:r>
          </w:p>
        </w:tc>
        <w:tc>
          <w:tcPr>
            <w:tcW w:w="2120" w:type="dxa"/>
            <w:noWrap w:val="0"/>
            <w:vAlign w:val="center"/>
          </w:tcPr>
          <w:p w14:paraId="087E8108">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lang w:val="en-US" w:eastAsia="zh-CN"/>
              </w:rPr>
              <w:t>类似案例</w:t>
            </w:r>
          </w:p>
        </w:tc>
        <w:tc>
          <w:tcPr>
            <w:tcW w:w="4401" w:type="dxa"/>
            <w:gridSpan w:val="2"/>
            <w:noWrap w:val="0"/>
            <w:vAlign w:val="center"/>
          </w:tcPr>
          <w:p w14:paraId="13672747">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FF0000"/>
                <w:sz w:val="24"/>
                <w:szCs w:val="24"/>
              </w:rPr>
            </w:pPr>
            <w:r>
              <w:rPr>
                <w:rFonts w:hint="eastAsia" w:ascii="宋体" w:hAnsi="宋体" w:eastAsia="宋体" w:cs="宋体"/>
                <w:b w:val="0"/>
                <w:bCs w:val="0"/>
                <w:color w:val="FF0000"/>
                <w:sz w:val="24"/>
                <w:szCs w:val="24"/>
              </w:rPr>
              <w:t>202</w:t>
            </w:r>
            <w:r>
              <w:rPr>
                <w:rFonts w:hint="eastAsia" w:cs="宋体"/>
                <w:b w:val="0"/>
                <w:bCs w:val="0"/>
                <w:color w:val="FF0000"/>
                <w:sz w:val="24"/>
                <w:szCs w:val="24"/>
                <w:lang w:val="en-US" w:eastAsia="zh-CN"/>
              </w:rPr>
              <w:t>2</w:t>
            </w:r>
            <w:r>
              <w:rPr>
                <w:rFonts w:hint="eastAsia" w:ascii="宋体" w:hAnsi="宋体" w:eastAsia="宋体" w:cs="宋体"/>
                <w:b w:val="0"/>
                <w:bCs w:val="0"/>
                <w:color w:val="FF0000"/>
                <w:sz w:val="24"/>
                <w:szCs w:val="24"/>
              </w:rPr>
              <w:t>年1月1日以来，供应商具有河南省内医疗行业</w:t>
            </w:r>
            <w:r>
              <w:rPr>
                <w:rFonts w:hint="eastAsia" w:cs="宋体"/>
                <w:b w:val="0"/>
                <w:bCs w:val="0"/>
                <w:i w:val="0"/>
                <w:iCs w:val="0"/>
                <w:color w:val="FF0000"/>
                <w:sz w:val="24"/>
                <w:szCs w:val="24"/>
                <w:u w:val="none"/>
                <w:lang w:val="en-US" w:eastAsia="zh-CN"/>
              </w:rPr>
              <w:t>消毒供应追溯系统配套硬件</w:t>
            </w:r>
            <w:r>
              <w:rPr>
                <w:rFonts w:hint="eastAsia" w:ascii="宋体" w:hAnsi="宋体" w:eastAsia="宋体" w:cs="宋体"/>
                <w:b w:val="0"/>
                <w:bCs w:val="0"/>
                <w:color w:val="FF0000"/>
                <w:sz w:val="24"/>
                <w:szCs w:val="24"/>
              </w:rPr>
              <w:t>同类产品业绩，每一份案例合同复印件得</w:t>
            </w:r>
            <w:r>
              <w:rPr>
                <w:rFonts w:hint="eastAsia" w:ascii="宋体" w:hAnsi="宋体" w:eastAsia="宋体" w:cs="宋体"/>
                <w:b w:val="0"/>
                <w:bCs w:val="0"/>
                <w:color w:val="FF0000"/>
                <w:sz w:val="24"/>
                <w:szCs w:val="24"/>
                <w:lang w:val="en-US" w:eastAsia="zh-CN"/>
              </w:rPr>
              <w:t>4</w:t>
            </w:r>
            <w:r>
              <w:rPr>
                <w:rFonts w:hint="eastAsia" w:ascii="宋体" w:hAnsi="宋体" w:eastAsia="宋体" w:cs="宋体"/>
                <w:b w:val="0"/>
                <w:bCs w:val="0"/>
                <w:color w:val="FF0000"/>
                <w:sz w:val="24"/>
                <w:szCs w:val="24"/>
              </w:rPr>
              <w:t>分，本项最多得</w:t>
            </w:r>
            <w:r>
              <w:rPr>
                <w:rFonts w:hint="eastAsia" w:ascii="宋体" w:hAnsi="宋体" w:eastAsia="宋体" w:cs="宋体"/>
                <w:b w:val="0"/>
                <w:bCs w:val="0"/>
                <w:color w:val="FF0000"/>
                <w:sz w:val="24"/>
                <w:szCs w:val="24"/>
                <w:lang w:val="en-US" w:eastAsia="zh-CN"/>
              </w:rPr>
              <w:t>12</w:t>
            </w:r>
            <w:r>
              <w:rPr>
                <w:rFonts w:hint="eastAsia" w:ascii="宋体" w:hAnsi="宋体" w:eastAsia="宋体" w:cs="宋体"/>
                <w:b w:val="0"/>
                <w:bCs w:val="0"/>
                <w:color w:val="FF0000"/>
                <w:sz w:val="24"/>
                <w:szCs w:val="24"/>
              </w:rPr>
              <w:t>分。</w:t>
            </w:r>
          </w:p>
        </w:tc>
        <w:tc>
          <w:tcPr>
            <w:tcW w:w="1134" w:type="dxa"/>
            <w:noWrap w:val="0"/>
            <w:vAlign w:val="center"/>
          </w:tcPr>
          <w:p w14:paraId="604D3F55">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FF0000"/>
                <w:sz w:val="24"/>
                <w:szCs w:val="24"/>
                <w:lang w:val="en-US"/>
              </w:rPr>
            </w:pPr>
            <w:r>
              <w:rPr>
                <w:rFonts w:hint="eastAsia" w:ascii="宋体" w:hAnsi="宋体" w:eastAsia="宋体" w:cs="宋体"/>
                <w:b w:val="0"/>
                <w:bCs w:val="0"/>
                <w:color w:val="FF0000"/>
                <w:sz w:val="24"/>
                <w:szCs w:val="24"/>
              </w:rPr>
              <w:t>0≤m≤</w:t>
            </w:r>
            <w:r>
              <w:rPr>
                <w:rFonts w:hint="eastAsia" w:ascii="宋体" w:hAnsi="宋体" w:eastAsia="宋体" w:cs="宋体"/>
                <w:b w:val="0"/>
                <w:bCs w:val="0"/>
                <w:color w:val="FF0000"/>
                <w:sz w:val="24"/>
                <w:szCs w:val="24"/>
                <w:lang w:val="en-US" w:eastAsia="zh-CN"/>
              </w:rPr>
              <w:t>12</w:t>
            </w:r>
          </w:p>
        </w:tc>
      </w:tr>
      <w:tr w14:paraId="29C3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62" w:type="dxa"/>
            <w:gridSpan w:val="2"/>
            <w:vMerge w:val="continue"/>
            <w:noWrap w:val="0"/>
            <w:vAlign w:val="center"/>
          </w:tcPr>
          <w:p w14:paraId="2CF31014">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840" w:type="dxa"/>
            <w:vMerge w:val="continue"/>
            <w:noWrap w:val="0"/>
            <w:vAlign w:val="center"/>
          </w:tcPr>
          <w:p w14:paraId="1080A658">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2120" w:type="dxa"/>
            <w:noWrap w:val="0"/>
            <w:vAlign w:val="center"/>
          </w:tcPr>
          <w:p w14:paraId="0C40B458">
            <w:pPr>
              <w:keepNext w:val="0"/>
              <w:keepLines w:val="0"/>
              <w:pageBreakBefore w:val="0"/>
              <w:widowControl w:val="0"/>
              <w:kinsoku/>
              <w:wordWrap/>
              <w:overflowPunct/>
              <w:topLinePunct w:val="0"/>
              <w:bidi w:val="0"/>
              <w:snapToGrid/>
              <w:spacing w:line="360" w:lineRule="auto"/>
              <w:ind w:firstLine="0" w:firstLineChars="0"/>
              <w:jc w:val="center"/>
              <w:rPr>
                <w:rFonts w:hint="default" w:ascii="宋体" w:hAnsi="宋体" w:eastAsia="宋体" w:cs="宋体"/>
                <w:b w:val="0"/>
                <w:bCs w:val="0"/>
                <w:color w:val="FF0000"/>
                <w:sz w:val="24"/>
                <w:szCs w:val="24"/>
                <w:lang w:val="en-US" w:eastAsia="zh-CN"/>
              </w:rPr>
            </w:pPr>
            <w:r>
              <w:rPr>
                <w:rFonts w:hint="eastAsia" w:cs="宋体"/>
                <w:b w:val="0"/>
                <w:bCs w:val="0"/>
                <w:color w:val="FF0000"/>
                <w:sz w:val="24"/>
                <w:szCs w:val="24"/>
                <w:lang w:val="en-US" w:eastAsia="zh-CN"/>
              </w:rPr>
              <w:t>企业实力</w:t>
            </w:r>
          </w:p>
        </w:tc>
        <w:tc>
          <w:tcPr>
            <w:tcW w:w="4401" w:type="dxa"/>
            <w:gridSpan w:val="2"/>
            <w:noWrap w:val="0"/>
            <w:vAlign w:val="center"/>
          </w:tcPr>
          <w:p w14:paraId="4CC00291">
            <w:pPr>
              <w:keepNext w:val="0"/>
              <w:keepLines w:val="0"/>
              <w:pageBreakBefore w:val="0"/>
              <w:widowControl w:val="0"/>
              <w:kinsoku/>
              <w:wordWrap/>
              <w:overflowPunct/>
              <w:topLinePunct w:val="0"/>
              <w:bidi w:val="0"/>
              <w:snapToGrid/>
              <w:spacing w:line="360" w:lineRule="auto"/>
              <w:ind w:firstLine="0" w:firstLineChars="0"/>
              <w:jc w:val="center"/>
              <w:rPr>
                <w:rFonts w:hint="default" w:ascii="宋体" w:hAnsi="宋体" w:eastAsia="宋体" w:cs="宋体"/>
                <w:b w:val="0"/>
                <w:bCs w:val="0"/>
                <w:color w:val="FF0000"/>
                <w:sz w:val="24"/>
                <w:szCs w:val="24"/>
                <w:lang w:val="en-US" w:eastAsia="zh-CN"/>
              </w:rPr>
            </w:pPr>
            <w:r>
              <w:rPr>
                <w:rFonts w:hint="eastAsia" w:cs="宋体"/>
                <w:b w:val="0"/>
                <w:bCs w:val="0"/>
                <w:color w:val="FF0000"/>
                <w:sz w:val="24"/>
                <w:szCs w:val="24"/>
                <w:lang w:val="en-US" w:eastAsia="zh-CN"/>
              </w:rPr>
              <w:t>供应商属于“河南省政府采购网上商城-供应商目录中的供应商”的得3分</w:t>
            </w:r>
          </w:p>
        </w:tc>
        <w:tc>
          <w:tcPr>
            <w:tcW w:w="1134" w:type="dxa"/>
            <w:noWrap w:val="0"/>
            <w:vAlign w:val="center"/>
          </w:tcPr>
          <w:p w14:paraId="388A0FEA">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FF0000"/>
                <w:sz w:val="24"/>
                <w:szCs w:val="24"/>
              </w:rPr>
              <w:t>0≤m≤</w:t>
            </w:r>
            <w:r>
              <w:rPr>
                <w:rFonts w:hint="eastAsia" w:cs="宋体"/>
                <w:b w:val="0"/>
                <w:bCs w:val="0"/>
                <w:color w:val="FF0000"/>
                <w:sz w:val="24"/>
                <w:szCs w:val="24"/>
                <w:lang w:val="en-US" w:eastAsia="zh-CN"/>
              </w:rPr>
              <w:t>3</w:t>
            </w:r>
          </w:p>
        </w:tc>
      </w:tr>
      <w:tr w14:paraId="4E79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62" w:type="dxa"/>
            <w:gridSpan w:val="2"/>
            <w:vMerge w:val="continue"/>
            <w:noWrap w:val="0"/>
            <w:vAlign w:val="center"/>
          </w:tcPr>
          <w:p w14:paraId="5B0E5B34">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840" w:type="dxa"/>
            <w:vMerge w:val="continue"/>
            <w:noWrap w:val="0"/>
            <w:vAlign w:val="center"/>
          </w:tcPr>
          <w:p w14:paraId="1D458B66">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2120" w:type="dxa"/>
            <w:noWrap w:val="0"/>
            <w:vAlign w:val="center"/>
          </w:tcPr>
          <w:p w14:paraId="4A30265A">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售后服务</w:t>
            </w:r>
            <w:r>
              <w:rPr>
                <w:rFonts w:hint="eastAsia" w:ascii="宋体" w:hAnsi="宋体" w:eastAsia="宋体" w:cs="宋体"/>
                <w:b w:val="0"/>
                <w:bCs w:val="0"/>
                <w:color w:val="000000" w:themeColor="text1"/>
                <w:sz w:val="24"/>
                <w:szCs w:val="24"/>
                <w:lang w:val="en-US" w:eastAsia="zh-CN"/>
                <w14:textFill>
                  <w14:solidFill>
                    <w14:schemeClr w14:val="tx1"/>
                  </w14:solidFill>
                </w14:textFill>
              </w:rPr>
              <w:t>方案</w:t>
            </w:r>
          </w:p>
        </w:tc>
        <w:tc>
          <w:tcPr>
            <w:tcW w:w="4401" w:type="dxa"/>
            <w:gridSpan w:val="2"/>
            <w:noWrap w:val="0"/>
            <w:vAlign w:val="center"/>
          </w:tcPr>
          <w:p w14:paraId="1DFAA8A0">
            <w:pPr>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售后服务方案科学合理、内容详实、售后服务人员配备合理，售后服务计划可行，售后服务设备科学实用，优于采购需求，得</w:t>
            </w:r>
            <w:r>
              <w:rPr>
                <w:rFonts w:hint="eastAsia"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分。</w:t>
            </w:r>
          </w:p>
          <w:p w14:paraId="2F13A2ED">
            <w:pPr>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 xml:space="preserve">售后服务方案较科学合理、内容较详实、售后服务人员配备较合理，售后服务计划可行，售后服务设备较科学实用，满足采购需求，得 </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分。</w:t>
            </w:r>
          </w:p>
          <w:p w14:paraId="198C51D4">
            <w:pPr>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售后服务方案一般、内容表述一般、售后服务人员配备不合理，售后服务计划简单，售后服务设备一般得 1 分。</w:t>
            </w:r>
          </w:p>
          <w:p w14:paraId="75CA0758">
            <w:pPr>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售后服务方案不合理、内容表述不合理、售后服务人员配备不合理，售后服务计划简单，售后服务设备不合理得 0.5 分。缺项得 0 分。</w:t>
            </w:r>
          </w:p>
        </w:tc>
        <w:tc>
          <w:tcPr>
            <w:tcW w:w="1134" w:type="dxa"/>
            <w:noWrap w:val="0"/>
            <w:vAlign w:val="center"/>
          </w:tcPr>
          <w:p w14:paraId="566DB37F">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0≤m≤</w:t>
            </w:r>
            <w:r>
              <w:rPr>
                <w:rFonts w:hint="eastAsia" w:cs="宋体"/>
                <w:b w:val="0"/>
                <w:bCs w:val="0"/>
                <w:color w:val="000000" w:themeColor="text1"/>
                <w:sz w:val="24"/>
                <w:szCs w:val="24"/>
                <w:lang w:val="en-US" w:eastAsia="zh-CN"/>
                <w14:textFill>
                  <w14:solidFill>
                    <w14:schemeClr w14:val="tx1"/>
                  </w14:solidFill>
                </w14:textFill>
              </w:rPr>
              <w:t>5</w:t>
            </w:r>
          </w:p>
        </w:tc>
      </w:tr>
      <w:tr w14:paraId="02DF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62" w:type="dxa"/>
            <w:gridSpan w:val="2"/>
            <w:vMerge w:val="continue"/>
            <w:noWrap w:val="0"/>
            <w:vAlign w:val="center"/>
          </w:tcPr>
          <w:p w14:paraId="44CD683B">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840" w:type="dxa"/>
            <w:vMerge w:val="continue"/>
            <w:noWrap w:val="0"/>
            <w:vAlign w:val="center"/>
          </w:tcPr>
          <w:p w14:paraId="5CC54A88">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2120" w:type="dxa"/>
            <w:noWrap w:val="0"/>
            <w:vAlign w:val="center"/>
          </w:tcPr>
          <w:p w14:paraId="08FFEB89">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应急处理方案</w:t>
            </w:r>
          </w:p>
        </w:tc>
        <w:tc>
          <w:tcPr>
            <w:tcW w:w="4401" w:type="dxa"/>
            <w:gridSpan w:val="2"/>
            <w:noWrap w:val="0"/>
            <w:vAlign w:val="center"/>
          </w:tcPr>
          <w:p w14:paraId="0CF15F95">
            <w:pPr>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根据</w:t>
            </w:r>
            <w:r>
              <w:rPr>
                <w:rFonts w:hint="eastAsia" w:ascii="宋体" w:hAnsi="宋体" w:eastAsia="宋体" w:cs="宋体"/>
                <w:b w:val="0"/>
                <w:bCs w:val="0"/>
                <w:color w:val="000000" w:themeColor="text1"/>
                <w:sz w:val="24"/>
                <w:szCs w:val="24"/>
                <w:lang w:val="en-US" w:eastAsia="zh-CN"/>
                <w14:textFill>
                  <w14:solidFill>
                    <w14:schemeClr w14:val="tx1"/>
                  </w14:solidFill>
                </w14:textFill>
              </w:rPr>
              <w:t>供应商</w:t>
            </w:r>
            <w:r>
              <w:rPr>
                <w:rFonts w:hint="eastAsia" w:ascii="宋体" w:hAnsi="宋体" w:eastAsia="宋体" w:cs="宋体"/>
                <w:b w:val="0"/>
                <w:bCs w:val="0"/>
                <w:color w:val="000000" w:themeColor="text1"/>
                <w:sz w:val="24"/>
                <w:szCs w:val="24"/>
                <w14:textFill>
                  <w14:solidFill>
                    <w14:schemeClr w14:val="tx1"/>
                  </w14:solidFill>
                </w14:textFill>
              </w:rPr>
              <w:t>提供针对本项目拟定的应急</w:t>
            </w:r>
            <w:r>
              <w:rPr>
                <w:rFonts w:hint="eastAsia" w:ascii="宋体" w:hAnsi="宋体" w:eastAsia="宋体" w:cs="宋体"/>
                <w:b w:val="0"/>
                <w:bCs w:val="0"/>
                <w:color w:val="000000" w:themeColor="text1"/>
                <w:sz w:val="24"/>
                <w:szCs w:val="24"/>
                <w:lang w:val="en-US" w:eastAsia="zh-CN"/>
                <w14:textFill>
                  <w14:solidFill>
                    <w14:schemeClr w14:val="tx1"/>
                  </w14:solidFill>
                </w14:textFill>
              </w:rPr>
              <w:t>处理</w:t>
            </w:r>
            <w:r>
              <w:rPr>
                <w:rFonts w:hint="eastAsia" w:ascii="宋体" w:hAnsi="宋体" w:eastAsia="宋体" w:cs="宋体"/>
                <w:b w:val="0"/>
                <w:bCs w:val="0"/>
                <w:color w:val="000000" w:themeColor="text1"/>
                <w:sz w:val="24"/>
                <w:szCs w:val="24"/>
                <w14:textFill>
                  <w14:solidFill>
                    <w14:schemeClr w14:val="tx1"/>
                  </w14:solidFill>
                </w14:textFill>
              </w:rPr>
              <w:t>方案进行打分：</w:t>
            </w:r>
          </w:p>
          <w:p w14:paraId="2BBD8D2D">
            <w:pPr>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1、方案内容详细、科学合理、切实可行。得</w:t>
            </w:r>
            <w:r>
              <w:rPr>
                <w:rFonts w:hint="eastAsia"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分</w:t>
            </w:r>
          </w:p>
          <w:p w14:paraId="1E34D51F">
            <w:pPr>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2、方案内容较详细、较科学合理、切实可行。得</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 xml:space="preserve">分 </w:t>
            </w:r>
          </w:p>
          <w:p w14:paraId="2E742D97">
            <w:pPr>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3、方案一般、内容表述一般得</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分</w:t>
            </w:r>
          </w:p>
          <w:p w14:paraId="1D493028">
            <w:pPr>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缺项得0分。</w:t>
            </w:r>
          </w:p>
        </w:tc>
        <w:tc>
          <w:tcPr>
            <w:tcW w:w="1134" w:type="dxa"/>
            <w:noWrap w:val="0"/>
            <w:vAlign w:val="center"/>
          </w:tcPr>
          <w:p w14:paraId="336DBFF2">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0≤m≤</w:t>
            </w:r>
            <w:r>
              <w:rPr>
                <w:rFonts w:hint="eastAsia" w:cs="宋体"/>
                <w:b w:val="0"/>
                <w:bCs w:val="0"/>
                <w:color w:val="000000" w:themeColor="text1"/>
                <w:sz w:val="24"/>
                <w:szCs w:val="24"/>
                <w:lang w:val="en-US" w:eastAsia="zh-CN"/>
                <w14:textFill>
                  <w14:solidFill>
                    <w14:schemeClr w14:val="tx1"/>
                  </w14:solidFill>
                </w14:textFill>
              </w:rPr>
              <w:t>5</w:t>
            </w:r>
          </w:p>
        </w:tc>
      </w:tr>
      <w:tr w14:paraId="3AA8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62" w:type="dxa"/>
            <w:gridSpan w:val="2"/>
            <w:vMerge w:val="continue"/>
            <w:noWrap w:val="0"/>
            <w:vAlign w:val="center"/>
          </w:tcPr>
          <w:p w14:paraId="703BBCAA">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840" w:type="dxa"/>
            <w:vMerge w:val="continue"/>
            <w:noWrap w:val="0"/>
            <w:vAlign w:val="center"/>
          </w:tcPr>
          <w:p w14:paraId="2D651151">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2120" w:type="dxa"/>
            <w:noWrap w:val="0"/>
            <w:vAlign w:val="center"/>
          </w:tcPr>
          <w:p w14:paraId="3CAB13BD">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供货方案</w:t>
            </w:r>
          </w:p>
        </w:tc>
        <w:tc>
          <w:tcPr>
            <w:tcW w:w="4401" w:type="dxa"/>
            <w:gridSpan w:val="2"/>
            <w:noWrap w:val="0"/>
            <w:vAlign w:val="center"/>
          </w:tcPr>
          <w:p w14:paraId="49F711F4">
            <w:pPr>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有详细的供货方案，且具有详细可行的实施计划和明确的工作流程，措施科学、完整，优于采购需求的，得</w:t>
            </w:r>
            <w:r>
              <w:rPr>
                <w:rFonts w:hint="eastAsia"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分。</w:t>
            </w:r>
          </w:p>
          <w:p w14:paraId="0FE5995C">
            <w:pPr>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有较详细的供货方案，且具有较为详细可行的实施计划和工作流程，措施较科学、完整，满足采购需求，得</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分。</w:t>
            </w:r>
          </w:p>
          <w:p w14:paraId="24884D09">
            <w:pPr>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有较详细的供货方案，但实施计划和工作流程一般，基本满足采购需求，得1分。</w:t>
            </w:r>
          </w:p>
          <w:p w14:paraId="13051453">
            <w:pPr>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供货方案不完整，实施计划和工作流程不可行，得0.5分。</w:t>
            </w:r>
          </w:p>
          <w:p w14:paraId="264A4780">
            <w:pPr>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缺项得0分。</w:t>
            </w:r>
          </w:p>
        </w:tc>
        <w:tc>
          <w:tcPr>
            <w:tcW w:w="1134" w:type="dxa"/>
            <w:noWrap w:val="0"/>
            <w:vAlign w:val="center"/>
          </w:tcPr>
          <w:p w14:paraId="17D2AAE2">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0≤m≤</w:t>
            </w:r>
            <w:r>
              <w:rPr>
                <w:rFonts w:hint="eastAsia" w:cs="宋体"/>
                <w:b w:val="0"/>
                <w:bCs w:val="0"/>
                <w:color w:val="000000" w:themeColor="text1"/>
                <w:sz w:val="24"/>
                <w:szCs w:val="24"/>
                <w:lang w:val="en-US" w:eastAsia="zh-CN"/>
                <w14:textFill>
                  <w14:solidFill>
                    <w14:schemeClr w14:val="tx1"/>
                  </w14:solidFill>
                </w14:textFill>
              </w:rPr>
              <w:t>5</w:t>
            </w:r>
          </w:p>
        </w:tc>
      </w:tr>
      <w:tr w14:paraId="4212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62" w:type="dxa"/>
            <w:gridSpan w:val="2"/>
            <w:vMerge w:val="restart"/>
            <w:noWrap w:val="0"/>
            <w:vAlign w:val="center"/>
          </w:tcPr>
          <w:p w14:paraId="5353F83E">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2.2.2（3）</w:t>
            </w:r>
          </w:p>
        </w:tc>
        <w:tc>
          <w:tcPr>
            <w:tcW w:w="840" w:type="dxa"/>
            <w:vMerge w:val="restart"/>
            <w:noWrap w:val="0"/>
            <w:vAlign w:val="center"/>
          </w:tcPr>
          <w:p w14:paraId="1E3AB34B">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技术部分评审标准（</w:t>
            </w:r>
            <w:r>
              <w:rPr>
                <w:rFonts w:hint="eastAsia" w:cs="宋体"/>
                <w:b w:val="0"/>
                <w:bCs w:val="0"/>
                <w:color w:val="000000" w:themeColor="text1"/>
                <w:sz w:val="24"/>
                <w:szCs w:val="24"/>
                <w:lang w:val="en-US" w:eastAsia="zh-CN"/>
                <w14:textFill>
                  <w14:solidFill>
                    <w14:schemeClr w14:val="tx1"/>
                  </w14:solidFill>
                </w14:textFill>
              </w:rPr>
              <w:t>30</w:t>
            </w:r>
            <w:r>
              <w:rPr>
                <w:rFonts w:hint="eastAsia" w:ascii="宋体" w:hAnsi="宋体" w:eastAsia="宋体" w:cs="宋体"/>
                <w:b w:val="0"/>
                <w:bCs w:val="0"/>
                <w:color w:val="000000" w:themeColor="text1"/>
                <w:sz w:val="24"/>
                <w:szCs w:val="24"/>
                <w14:textFill>
                  <w14:solidFill>
                    <w14:schemeClr w14:val="tx1"/>
                  </w14:solidFill>
                </w14:textFill>
              </w:rPr>
              <w:t>分）</w:t>
            </w:r>
          </w:p>
        </w:tc>
        <w:tc>
          <w:tcPr>
            <w:tcW w:w="2120" w:type="dxa"/>
            <w:noWrap w:val="0"/>
            <w:vAlign w:val="center"/>
          </w:tcPr>
          <w:p w14:paraId="2D88BBA9">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服务能力</w:t>
            </w:r>
          </w:p>
        </w:tc>
        <w:tc>
          <w:tcPr>
            <w:tcW w:w="4401" w:type="dxa"/>
            <w:gridSpan w:val="2"/>
            <w:noWrap w:val="0"/>
            <w:vAlign w:val="center"/>
          </w:tcPr>
          <w:p w14:paraId="479E5FB3">
            <w:pPr>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根据</w:t>
            </w:r>
            <w:r>
              <w:rPr>
                <w:rFonts w:hint="eastAsia" w:ascii="宋体" w:hAnsi="宋体" w:eastAsia="宋体" w:cs="宋体"/>
                <w:b w:val="0"/>
                <w:bCs w:val="0"/>
                <w:color w:val="000000" w:themeColor="text1"/>
                <w:sz w:val="24"/>
                <w:szCs w:val="24"/>
                <w:lang w:val="en-US" w:eastAsia="zh-CN"/>
                <w14:textFill>
                  <w14:solidFill>
                    <w14:schemeClr w14:val="tx1"/>
                  </w14:solidFill>
                </w14:textFill>
              </w:rPr>
              <w:t>供应商拟投入</w:t>
            </w:r>
            <w:r>
              <w:rPr>
                <w:rFonts w:hint="eastAsia" w:ascii="宋体" w:hAnsi="宋体" w:eastAsia="宋体" w:cs="宋体"/>
                <w:b w:val="0"/>
                <w:bCs w:val="0"/>
                <w:color w:val="000000" w:themeColor="text1"/>
                <w:sz w:val="24"/>
                <w:szCs w:val="24"/>
                <w14:textFill>
                  <w14:solidFill>
                    <w14:schemeClr w14:val="tx1"/>
                  </w14:solidFill>
                </w14:textFill>
              </w:rPr>
              <w:t>针对本项目</w:t>
            </w:r>
            <w:r>
              <w:rPr>
                <w:rFonts w:hint="eastAsia" w:ascii="宋体" w:hAnsi="宋体" w:eastAsia="宋体" w:cs="宋体"/>
                <w:b w:val="0"/>
                <w:bCs w:val="0"/>
                <w:color w:val="000000" w:themeColor="text1"/>
                <w:sz w:val="24"/>
                <w:szCs w:val="24"/>
                <w:lang w:val="en-US" w:eastAsia="zh-CN"/>
                <w14:textFill>
                  <w14:solidFill>
                    <w14:schemeClr w14:val="tx1"/>
                  </w14:solidFill>
                </w14:textFill>
              </w:rPr>
              <w:t>服务人员、服务设备及服务方案</w:t>
            </w:r>
            <w:r>
              <w:rPr>
                <w:rFonts w:hint="eastAsia" w:ascii="宋体" w:hAnsi="宋体" w:eastAsia="宋体" w:cs="宋体"/>
                <w:b w:val="0"/>
                <w:bCs w:val="0"/>
                <w:color w:val="000000" w:themeColor="text1"/>
                <w:sz w:val="24"/>
                <w:szCs w:val="24"/>
                <w14:textFill>
                  <w14:solidFill>
                    <w14:schemeClr w14:val="tx1"/>
                  </w14:solidFill>
                </w14:textFill>
              </w:rPr>
              <w:t>进行打分：</w:t>
            </w:r>
          </w:p>
          <w:p w14:paraId="6C9C3E9F">
            <w:pPr>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w:t>
            </w:r>
            <w:r>
              <w:rPr>
                <w:rFonts w:hint="eastAsia" w:ascii="宋体" w:hAnsi="宋体" w:eastAsia="宋体" w:cs="宋体"/>
                <w:b w:val="0"/>
                <w:bCs w:val="0"/>
                <w:color w:val="000000" w:themeColor="text1"/>
                <w:sz w:val="24"/>
                <w:szCs w:val="24"/>
                <w:lang w:val="en-US" w:eastAsia="zh-CN"/>
                <w14:textFill>
                  <w14:solidFill>
                    <w14:schemeClr w14:val="tx1"/>
                  </w14:solidFill>
                </w14:textFill>
              </w:rPr>
              <w:t>服务人员、服务设备优于本项目需求，方</w:t>
            </w:r>
            <w:r>
              <w:rPr>
                <w:rFonts w:hint="eastAsia" w:ascii="宋体" w:hAnsi="宋体" w:eastAsia="宋体" w:cs="宋体"/>
                <w:b w:val="0"/>
                <w:bCs w:val="0"/>
                <w:color w:val="000000" w:themeColor="text1"/>
                <w:sz w:val="24"/>
                <w:szCs w:val="24"/>
                <w14:textFill>
                  <w14:solidFill>
                    <w14:schemeClr w14:val="tx1"/>
                  </w14:solidFill>
                </w14:textFill>
              </w:rPr>
              <w:t>案内容详细、科学合理、切实可行。得6分</w:t>
            </w:r>
          </w:p>
          <w:p w14:paraId="10772FAF">
            <w:pPr>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服务人员、服务设备满足本项目需求，</w:t>
            </w:r>
            <w:r>
              <w:rPr>
                <w:rFonts w:hint="eastAsia" w:ascii="宋体" w:hAnsi="宋体" w:eastAsia="宋体" w:cs="宋体"/>
                <w:b w:val="0"/>
                <w:bCs w:val="0"/>
                <w:color w:val="000000" w:themeColor="text1"/>
                <w:sz w:val="24"/>
                <w:szCs w:val="24"/>
                <w14:textFill>
                  <w14:solidFill>
                    <w14:schemeClr w14:val="tx1"/>
                  </w14:solidFill>
                </w14:textFill>
              </w:rPr>
              <w:t>方案内容较详细、较科学合理、切实可行。得</w:t>
            </w: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 xml:space="preserve">分 </w:t>
            </w:r>
          </w:p>
          <w:p w14:paraId="4E7051CA">
            <w:pPr>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w:t>
            </w:r>
            <w:r>
              <w:rPr>
                <w:rFonts w:hint="eastAsia" w:ascii="宋体" w:hAnsi="宋体" w:eastAsia="宋体" w:cs="宋体"/>
                <w:b w:val="0"/>
                <w:bCs w:val="0"/>
                <w:color w:val="000000" w:themeColor="text1"/>
                <w:sz w:val="24"/>
                <w:szCs w:val="24"/>
                <w:lang w:val="en-US" w:eastAsia="zh-CN"/>
                <w14:textFill>
                  <w14:solidFill>
                    <w14:schemeClr w14:val="tx1"/>
                  </w14:solidFill>
                </w14:textFill>
              </w:rPr>
              <w:t>服务人员、服务设备不能满足本项目需求，</w:t>
            </w:r>
            <w:r>
              <w:rPr>
                <w:rFonts w:hint="eastAsia" w:ascii="宋体" w:hAnsi="宋体" w:eastAsia="宋体" w:cs="宋体"/>
                <w:b w:val="0"/>
                <w:bCs w:val="0"/>
                <w:color w:val="000000" w:themeColor="text1"/>
                <w:sz w:val="24"/>
                <w:szCs w:val="24"/>
                <w14:textFill>
                  <w14:solidFill>
                    <w14:schemeClr w14:val="tx1"/>
                  </w14:solidFill>
                </w14:textFill>
              </w:rPr>
              <w:t>方案一般、内容表述一般得</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分</w:t>
            </w:r>
          </w:p>
          <w:p w14:paraId="6CA48EC9">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缺项得0分。</w:t>
            </w:r>
          </w:p>
        </w:tc>
        <w:tc>
          <w:tcPr>
            <w:tcW w:w="1134" w:type="dxa"/>
            <w:noWrap w:val="0"/>
            <w:vAlign w:val="center"/>
          </w:tcPr>
          <w:p w14:paraId="5117615B">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0≤m≤</w:t>
            </w: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p>
        </w:tc>
      </w:tr>
      <w:tr w14:paraId="06A9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62" w:type="dxa"/>
            <w:gridSpan w:val="2"/>
            <w:vMerge w:val="continue"/>
            <w:noWrap w:val="0"/>
            <w:vAlign w:val="center"/>
          </w:tcPr>
          <w:p w14:paraId="087F7D58">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840" w:type="dxa"/>
            <w:vMerge w:val="continue"/>
            <w:noWrap w:val="0"/>
            <w:vAlign w:val="center"/>
          </w:tcPr>
          <w:p w14:paraId="11746A74">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2120" w:type="dxa"/>
            <w:noWrap w:val="0"/>
            <w:vAlign w:val="center"/>
          </w:tcPr>
          <w:p w14:paraId="1B6C39E1">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货物技术指标的响应程度：</w:t>
            </w:r>
            <w:r>
              <w:rPr>
                <w:rFonts w:hint="eastAsia" w:cs="宋体"/>
                <w:b w:val="0"/>
                <w:bCs w:val="0"/>
                <w:color w:val="000000" w:themeColor="text1"/>
                <w:sz w:val="24"/>
                <w:szCs w:val="24"/>
                <w:lang w:val="en-US" w:eastAsia="zh-CN"/>
                <w14:textFill>
                  <w14:solidFill>
                    <w14:schemeClr w14:val="tx1"/>
                  </w14:solidFill>
                </w14:textFill>
              </w:rPr>
              <w:t>20</w:t>
            </w:r>
            <w:r>
              <w:rPr>
                <w:rFonts w:hint="eastAsia" w:ascii="宋体" w:hAnsi="宋体" w:eastAsia="宋体" w:cs="宋体"/>
                <w:b w:val="0"/>
                <w:bCs w:val="0"/>
                <w:color w:val="000000" w:themeColor="text1"/>
                <w:sz w:val="24"/>
                <w:szCs w:val="24"/>
                <w:lang w:val="en-US" w:eastAsia="zh-CN"/>
                <w14:textFill>
                  <w14:solidFill>
                    <w14:schemeClr w14:val="tx1"/>
                  </w14:solidFill>
                </w14:textFill>
              </w:rPr>
              <w:t>分</w:t>
            </w:r>
          </w:p>
        </w:tc>
        <w:tc>
          <w:tcPr>
            <w:tcW w:w="4401" w:type="dxa"/>
            <w:gridSpan w:val="2"/>
            <w:noWrap w:val="0"/>
            <w:vAlign w:val="center"/>
          </w:tcPr>
          <w:p w14:paraId="5CE8EEE6">
            <w:pPr>
              <w:keepNext w:val="0"/>
              <w:keepLines w:val="0"/>
              <w:pageBreakBefore w:val="0"/>
              <w:widowControl w:val="0"/>
              <w:kinsoku/>
              <w:wordWrap/>
              <w:overflowPunct/>
              <w:topLinePunct w:val="0"/>
              <w:bidi w:val="0"/>
              <w:snapToGrid/>
              <w:spacing w:line="360" w:lineRule="auto"/>
              <w:ind w:firstLine="0" w:firstLineChars="0"/>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货物的技术参数、技术性能满足</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竞争性磋商文件</w:t>
            </w:r>
            <w:r>
              <w:rPr>
                <w:rFonts w:hint="eastAsia" w:ascii="宋体" w:hAnsi="宋体" w:eastAsia="宋体" w:cs="宋体"/>
                <w:b w:val="0"/>
                <w:bCs w:val="0"/>
                <w:color w:val="000000" w:themeColor="text1"/>
                <w:sz w:val="24"/>
                <w:szCs w:val="24"/>
                <w:highlight w:val="none"/>
                <w14:textFill>
                  <w14:solidFill>
                    <w14:schemeClr w14:val="tx1"/>
                  </w14:solidFill>
                </w14:textFill>
              </w:rPr>
              <w:t>要求得</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满分</w:t>
            </w:r>
            <w:r>
              <w:rPr>
                <w:rFonts w:hint="eastAsia" w:cs="宋体"/>
                <w:b w:val="0"/>
                <w:bCs w:val="0"/>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val="0"/>
                <w:bCs w:val="0"/>
                <w:color w:val="000000" w:themeColor="text1"/>
                <w:sz w:val="24"/>
                <w:szCs w:val="24"/>
                <w:highlight w:val="none"/>
                <w14:textFill>
                  <w14:solidFill>
                    <w14:schemeClr w14:val="tx1"/>
                  </w14:solidFill>
                </w14:textFill>
              </w:rPr>
              <w:t>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每有一项不满足在满分的基础上扣</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分，扣完为止。</w:t>
            </w:r>
          </w:p>
        </w:tc>
        <w:tc>
          <w:tcPr>
            <w:tcW w:w="1134" w:type="dxa"/>
            <w:noWrap w:val="0"/>
            <w:vAlign w:val="center"/>
          </w:tcPr>
          <w:p w14:paraId="348B841B">
            <w:pPr>
              <w:keepNext w:val="0"/>
              <w:keepLines w:val="0"/>
              <w:pageBreakBefore w:val="0"/>
              <w:widowControl w:val="0"/>
              <w:kinsoku/>
              <w:wordWrap/>
              <w:overflowPunct/>
              <w:topLinePunct w:val="0"/>
              <w:bidi w:val="0"/>
              <w:snapToGrid/>
              <w:spacing w:line="360" w:lineRule="auto"/>
              <w:ind w:firstLine="0" w:firstLineChars="0"/>
              <w:jc w:val="center"/>
              <w:rPr>
                <w:rFonts w:hint="default"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0≤m≤</w:t>
            </w:r>
            <w:r>
              <w:rPr>
                <w:rFonts w:hint="eastAsia" w:cs="宋体"/>
                <w:b w:val="0"/>
                <w:bCs w:val="0"/>
                <w:color w:val="000000" w:themeColor="text1"/>
                <w:sz w:val="24"/>
                <w:szCs w:val="24"/>
                <w:lang w:val="en-US" w:eastAsia="zh-CN"/>
                <w14:textFill>
                  <w14:solidFill>
                    <w14:schemeClr w14:val="tx1"/>
                  </w14:solidFill>
                </w14:textFill>
              </w:rPr>
              <w:t>20</w:t>
            </w:r>
          </w:p>
        </w:tc>
      </w:tr>
      <w:tr w14:paraId="6F48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62" w:type="dxa"/>
            <w:gridSpan w:val="2"/>
            <w:vMerge w:val="continue"/>
            <w:noWrap w:val="0"/>
            <w:vAlign w:val="center"/>
          </w:tcPr>
          <w:p w14:paraId="48B09390">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840" w:type="dxa"/>
            <w:vMerge w:val="continue"/>
            <w:noWrap w:val="0"/>
            <w:vAlign w:val="center"/>
          </w:tcPr>
          <w:p w14:paraId="76A8126A">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2120" w:type="dxa"/>
            <w:noWrap w:val="0"/>
            <w:vAlign w:val="center"/>
          </w:tcPr>
          <w:p w14:paraId="2C58D482">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服务承诺</w:t>
            </w:r>
          </w:p>
        </w:tc>
        <w:tc>
          <w:tcPr>
            <w:tcW w:w="4401" w:type="dxa"/>
            <w:gridSpan w:val="2"/>
            <w:noWrap w:val="0"/>
            <w:vAlign w:val="center"/>
          </w:tcPr>
          <w:p w14:paraId="284165A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供应商承诺接到采购人通知，保证 2小时内响应，4小时到达现场，24小时解决问题，无法在规定时间解决问题，提供必要的后备设备或解决方案的；得2分。</w:t>
            </w:r>
          </w:p>
          <w:p w14:paraId="1211AC3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供应商承诺接到采购人通知，保证4小时内响应，8小时到达现场，48小时解决问题，无法在规定时间解决问题，提供必要的后备设备或解决方案的；得1分。</w:t>
            </w:r>
          </w:p>
          <w:p w14:paraId="1072A8A4">
            <w:pPr>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其他不得分。</w:t>
            </w:r>
          </w:p>
        </w:tc>
        <w:tc>
          <w:tcPr>
            <w:tcW w:w="1134" w:type="dxa"/>
            <w:noWrap w:val="0"/>
            <w:vAlign w:val="center"/>
          </w:tcPr>
          <w:p w14:paraId="0854379D">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0≤m≤</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p>
        </w:tc>
      </w:tr>
      <w:tr w14:paraId="7750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62" w:type="dxa"/>
            <w:gridSpan w:val="2"/>
            <w:vMerge w:val="continue"/>
            <w:noWrap w:val="0"/>
            <w:vAlign w:val="center"/>
          </w:tcPr>
          <w:p w14:paraId="2DCD1D14">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840" w:type="dxa"/>
            <w:vMerge w:val="continue"/>
            <w:noWrap w:val="0"/>
            <w:vAlign w:val="center"/>
          </w:tcPr>
          <w:p w14:paraId="1D7D23D0">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2120" w:type="dxa"/>
            <w:noWrap w:val="0"/>
            <w:vAlign w:val="center"/>
          </w:tcPr>
          <w:p w14:paraId="5A025A61">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优惠承诺</w:t>
            </w:r>
          </w:p>
        </w:tc>
        <w:tc>
          <w:tcPr>
            <w:tcW w:w="4401" w:type="dxa"/>
            <w:gridSpan w:val="2"/>
            <w:noWrap w:val="0"/>
            <w:vAlign w:val="center"/>
          </w:tcPr>
          <w:p w14:paraId="62A895C4">
            <w:pPr>
              <w:keepNext w:val="0"/>
              <w:keepLines w:val="0"/>
              <w:pageBreakBefore w:val="0"/>
              <w:widowControl w:val="0"/>
              <w:kinsoku/>
              <w:wordWrap/>
              <w:overflowPunct/>
              <w:topLinePunct w:val="0"/>
              <w:bidi w:val="0"/>
              <w:snapToGrid/>
              <w:spacing w:line="360" w:lineRule="auto"/>
              <w:ind w:firstLine="0" w:firstLineChars="0"/>
              <w:jc w:val="both"/>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供应商提供的有利于采购人的优惠承诺，有1条得1分，最多得2分</w:t>
            </w:r>
          </w:p>
        </w:tc>
        <w:tc>
          <w:tcPr>
            <w:tcW w:w="1134" w:type="dxa"/>
            <w:noWrap w:val="0"/>
            <w:vAlign w:val="center"/>
          </w:tcPr>
          <w:p w14:paraId="3BC52980">
            <w:pPr>
              <w:keepNext w:val="0"/>
              <w:keepLines w:val="0"/>
              <w:pageBreakBefore w:val="0"/>
              <w:widowControl w:val="0"/>
              <w:kinsoku/>
              <w:wordWrap/>
              <w:overflowPunct/>
              <w:topLinePunct w:val="0"/>
              <w:bidi w:val="0"/>
              <w:snapToGrid/>
              <w:spacing w:line="360" w:lineRule="auto"/>
              <w:ind w:firstLine="0" w:firstLineChars="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0≤m≤</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p>
        </w:tc>
      </w:tr>
    </w:tbl>
    <w:p w14:paraId="05774877">
      <w:pPr>
        <w:rPr>
          <w:rFonts w:hint="eastAsia" w:ascii="宋体" w:hAnsi="宋体" w:eastAsia="宋体" w:cs="宋体"/>
          <w:b/>
          <w:bCs/>
        </w:rPr>
      </w:pPr>
    </w:p>
    <w:p w14:paraId="5A104228">
      <w:pPr>
        <w:bidi w:val="0"/>
        <w:rPr>
          <w:rFonts w:hint="eastAsia"/>
          <w:sz w:val="24"/>
          <w:szCs w:val="22"/>
        </w:rPr>
      </w:pPr>
      <w:r>
        <w:rPr>
          <w:rFonts w:hint="eastAsia"/>
          <w:sz w:val="24"/>
          <w:szCs w:val="22"/>
        </w:rPr>
        <w:t>注：上述评审办法中，响应人如有缺项，缺项部分得0分。</w:t>
      </w:r>
    </w:p>
    <w:p w14:paraId="0979E93F">
      <w:pPr>
        <w:pStyle w:val="3"/>
        <w:bidi w:val="0"/>
        <w:rPr>
          <w:rFonts w:hint="eastAsia"/>
        </w:rPr>
      </w:pPr>
      <w:bookmarkStart w:id="232" w:name="_Toc495424154"/>
      <w:bookmarkStart w:id="233" w:name="_Toc495425093"/>
      <w:bookmarkStart w:id="234" w:name="_Toc501"/>
      <w:bookmarkStart w:id="235" w:name="_Toc495424887"/>
      <w:r>
        <w:rPr>
          <w:rFonts w:hint="eastAsia"/>
        </w:rPr>
        <w:t>1. 评审方法</w:t>
      </w:r>
      <w:bookmarkEnd w:id="232"/>
      <w:bookmarkEnd w:id="233"/>
      <w:bookmarkEnd w:id="234"/>
      <w:bookmarkEnd w:id="235"/>
    </w:p>
    <w:p w14:paraId="089721B9">
      <w:pPr>
        <w:bidi w:val="0"/>
        <w:rPr>
          <w:rFonts w:hint="eastAsia"/>
          <w:sz w:val="24"/>
          <w:szCs w:val="22"/>
        </w:rPr>
      </w:pPr>
      <w:r>
        <w:rPr>
          <w:rFonts w:hint="eastAsia"/>
          <w:sz w:val="24"/>
          <w:szCs w:val="22"/>
        </w:rPr>
        <w:t>本次评审采用综合评分法。磋商小组对满足磋商文件实质性要求的响应文件，按照本章规定的评分标准进行打分，并按得分由高到低顺序推荐成交候选人，排名第一名的成交候选人为成交人，综合评分相等时，以报价得分高的优先；报价得分也相等的，由采购人自行确定。</w:t>
      </w:r>
    </w:p>
    <w:p w14:paraId="7AE6823C">
      <w:pPr>
        <w:pStyle w:val="3"/>
        <w:spacing w:before="0" w:after="0" w:line="360" w:lineRule="auto"/>
        <w:ind w:left="0" w:right="240"/>
        <w:rPr>
          <w:rFonts w:hint="eastAsia" w:ascii="宋体" w:hAnsi="宋体" w:eastAsia="宋体" w:cs="宋体"/>
        </w:rPr>
      </w:pPr>
      <w:bookmarkStart w:id="236" w:name="_Toc10904"/>
      <w:bookmarkStart w:id="237" w:name="_Toc495424155"/>
      <w:bookmarkStart w:id="238" w:name="_Toc495424888"/>
      <w:bookmarkStart w:id="239" w:name="_Toc495425094"/>
      <w:r>
        <w:rPr>
          <w:rFonts w:hint="eastAsia" w:ascii="宋体" w:hAnsi="宋体" w:eastAsia="宋体" w:cs="宋体"/>
        </w:rPr>
        <w:t>2. 评审标准</w:t>
      </w:r>
      <w:bookmarkEnd w:id="236"/>
      <w:bookmarkEnd w:id="237"/>
      <w:bookmarkEnd w:id="238"/>
      <w:bookmarkEnd w:id="239"/>
    </w:p>
    <w:p w14:paraId="5AFB185F">
      <w:pPr>
        <w:bidi w:val="0"/>
        <w:rPr>
          <w:rFonts w:hint="eastAsia"/>
          <w:sz w:val="24"/>
          <w:szCs w:val="22"/>
        </w:rPr>
      </w:pPr>
      <w:bookmarkStart w:id="240" w:name="_Toc495424156"/>
      <w:bookmarkStart w:id="241" w:name="_Toc15965"/>
      <w:bookmarkStart w:id="242" w:name="_Toc495424889"/>
      <w:bookmarkStart w:id="243" w:name="_Toc495425095"/>
      <w:r>
        <w:rPr>
          <w:rFonts w:hint="eastAsia"/>
          <w:sz w:val="24"/>
          <w:szCs w:val="22"/>
        </w:rPr>
        <w:t>2.1 初步评审标准</w:t>
      </w:r>
      <w:bookmarkEnd w:id="240"/>
      <w:bookmarkEnd w:id="241"/>
      <w:bookmarkEnd w:id="242"/>
      <w:bookmarkEnd w:id="243"/>
    </w:p>
    <w:p w14:paraId="2AF7FE6C">
      <w:pPr>
        <w:bidi w:val="0"/>
        <w:rPr>
          <w:rFonts w:hint="eastAsia"/>
          <w:sz w:val="24"/>
          <w:szCs w:val="22"/>
        </w:rPr>
      </w:pPr>
      <w:r>
        <w:rPr>
          <w:rFonts w:hint="eastAsia"/>
          <w:sz w:val="24"/>
          <w:szCs w:val="22"/>
        </w:rPr>
        <w:t>2.1.1资格性检查评审标准：见评审办法前附表。</w:t>
      </w:r>
    </w:p>
    <w:p w14:paraId="1B82CA8A">
      <w:pPr>
        <w:bidi w:val="0"/>
        <w:rPr>
          <w:rFonts w:hint="eastAsia"/>
          <w:sz w:val="24"/>
          <w:szCs w:val="22"/>
        </w:rPr>
      </w:pPr>
      <w:r>
        <w:rPr>
          <w:rFonts w:hint="eastAsia"/>
          <w:sz w:val="24"/>
          <w:szCs w:val="22"/>
        </w:rPr>
        <w:t>2.1.2符合性检查评审标准：见评审办法前附表。</w:t>
      </w:r>
    </w:p>
    <w:p w14:paraId="1D62059D">
      <w:pPr>
        <w:bidi w:val="0"/>
        <w:rPr>
          <w:rFonts w:hint="eastAsia"/>
          <w:sz w:val="24"/>
          <w:szCs w:val="22"/>
        </w:rPr>
      </w:pPr>
      <w:bookmarkStart w:id="244" w:name="_Toc22021"/>
      <w:bookmarkStart w:id="245" w:name="_Toc495424890"/>
      <w:bookmarkStart w:id="246" w:name="_Toc495424157"/>
      <w:bookmarkStart w:id="247" w:name="_Toc495425096"/>
      <w:r>
        <w:rPr>
          <w:rFonts w:hint="eastAsia"/>
          <w:sz w:val="24"/>
          <w:szCs w:val="22"/>
        </w:rPr>
        <w:t>2.2 分值构成与评分标准</w:t>
      </w:r>
      <w:bookmarkEnd w:id="244"/>
      <w:bookmarkEnd w:id="245"/>
      <w:bookmarkEnd w:id="246"/>
      <w:bookmarkEnd w:id="247"/>
    </w:p>
    <w:p w14:paraId="1E783A17">
      <w:pPr>
        <w:bidi w:val="0"/>
        <w:rPr>
          <w:rFonts w:hint="eastAsia"/>
          <w:sz w:val="24"/>
          <w:szCs w:val="22"/>
        </w:rPr>
      </w:pPr>
      <w:r>
        <w:rPr>
          <w:rFonts w:hint="eastAsia"/>
          <w:sz w:val="24"/>
          <w:szCs w:val="22"/>
        </w:rPr>
        <w:t>（1）报价部分评审标准：见评审办法前附表；</w:t>
      </w:r>
    </w:p>
    <w:p w14:paraId="327EE90F">
      <w:pPr>
        <w:bidi w:val="0"/>
        <w:rPr>
          <w:rFonts w:hint="eastAsia"/>
          <w:sz w:val="24"/>
          <w:szCs w:val="22"/>
        </w:rPr>
      </w:pPr>
      <w:r>
        <w:rPr>
          <w:rFonts w:hint="eastAsia"/>
          <w:sz w:val="24"/>
          <w:szCs w:val="22"/>
        </w:rPr>
        <w:t>（2）商务部分评审标准：见评审办法前附表；</w:t>
      </w:r>
    </w:p>
    <w:p w14:paraId="15E1AEED">
      <w:pPr>
        <w:bidi w:val="0"/>
        <w:rPr>
          <w:rFonts w:hint="eastAsia"/>
          <w:sz w:val="24"/>
          <w:szCs w:val="22"/>
        </w:rPr>
      </w:pPr>
      <w:r>
        <w:rPr>
          <w:rFonts w:hint="eastAsia"/>
          <w:sz w:val="24"/>
          <w:szCs w:val="22"/>
        </w:rPr>
        <w:t>（3）技术部分评审标准：见评审办法前附表。</w:t>
      </w:r>
    </w:p>
    <w:p w14:paraId="6D347A95">
      <w:pPr>
        <w:pStyle w:val="3"/>
        <w:spacing w:before="0" w:after="0" w:line="360" w:lineRule="auto"/>
        <w:ind w:left="0" w:right="240"/>
        <w:rPr>
          <w:rFonts w:hint="eastAsia" w:ascii="宋体" w:hAnsi="宋体" w:eastAsia="宋体" w:cs="宋体"/>
        </w:rPr>
      </w:pPr>
      <w:bookmarkStart w:id="248" w:name="_Toc28680"/>
      <w:bookmarkStart w:id="249" w:name="_Toc495424158"/>
      <w:bookmarkStart w:id="250" w:name="_Toc495424891"/>
      <w:bookmarkStart w:id="251" w:name="_Toc495425097"/>
      <w:r>
        <w:rPr>
          <w:rFonts w:hint="eastAsia" w:ascii="宋体" w:hAnsi="宋体" w:eastAsia="宋体" w:cs="宋体"/>
        </w:rPr>
        <w:t>3. 评审程序</w:t>
      </w:r>
      <w:bookmarkEnd w:id="248"/>
      <w:bookmarkEnd w:id="249"/>
      <w:bookmarkEnd w:id="250"/>
      <w:bookmarkEnd w:id="251"/>
    </w:p>
    <w:p w14:paraId="59E9F89A">
      <w:pPr>
        <w:bidi w:val="0"/>
        <w:rPr>
          <w:rFonts w:hint="eastAsia"/>
          <w:sz w:val="24"/>
          <w:szCs w:val="22"/>
        </w:rPr>
      </w:pPr>
      <w:bookmarkStart w:id="252" w:name="_Toc6834"/>
      <w:bookmarkStart w:id="253" w:name="_Toc495424892"/>
      <w:bookmarkStart w:id="254" w:name="_Toc495425098"/>
      <w:bookmarkStart w:id="255" w:name="_Toc495424159"/>
      <w:r>
        <w:rPr>
          <w:rFonts w:hint="eastAsia"/>
          <w:sz w:val="24"/>
          <w:szCs w:val="22"/>
        </w:rPr>
        <w:t>3.1 初步评审</w:t>
      </w:r>
      <w:bookmarkEnd w:id="252"/>
      <w:bookmarkEnd w:id="253"/>
      <w:bookmarkEnd w:id="254"/>
      <w:bookmarkEnd w:id="255"/>
    </w:p>
    <w:p w14:paraId="39892130">
      <w:pPr>
        <w:bidi w:val="0"/>
        <w:rPr>
          <w:rFonts w:hint="eastAsia"/>
          <w:sz w:val="24"/>
          <w:szCs w:val="22"/>
        </w:rPr>
      </w:pPr>
      <w:r>
        <w:rPr>
          <w:rFonts w:hint="eastAsia"/>
          <w:sz w:val="24"/>
          <w:szCs w:val="22"/>
        </w:rPr>
        <w:t>3.1.1磋商小组依据本章第2.1条规定的标准对响应文件进行初步评审。有一项不符合评审标准的，作无效处理。</w:t>
      </w:r>
    </w:p>
    <w:p w14:paraId="4412FB84">
      <w:pPr>
        <w:bidi w:val="0"/>
        <w:rPr>
          <w:rFonts w:hint="eastAsia"/>
          <w:sz w:val="24"/>
          <w:szCs w:val="22"/>
        </w:rPr>
      </w:pPr>
      <w:r>
        <w:rPr>
          <w:rFonts w:hint="eastAsia"/>
          <w:sz w:val="24"/>
          <w:szCs w:val="22"/>
        </w:rPr>
        <w:t>3.1.2响应人有以下情形之一的，其响应文件作无效处理：</w:t>
      </w:r>
    </w:p>
    <w:p w14:paraId="3F95DECD">
      <w:pPr>
        <w:bidi w:val="0"/>
        <w:rPr>
          <w:rFonts w:hint="eastAsia"/>
          <w:sz w:val="24"/>
          <w:szCs w:val="22"/>
        </w:rPr>
      </w:pPr>
      <w:r>
        <w:rPr>
          <w:rFonts w:hint="eastAsia"/>
          <w:sz w:val="24"/>
          <w:szCs w:val="22"/>
        </w:rPr>
        <w:t>（1）有第二章“响应人须知”第1.5.3项规定的任何一种情形的；</w:t>
      </w:r>
    </w:p>
    <w:p w14:paraId="77B80B96">
      <w:pPr>
        <w:bidi w:val="0"/>
        <w:rPr>
          <w:rFonts w:hint="eastAsia"/>
          <w:sz w:val="24"/>
          <w:szCs w:val="22"/>
        </w:rPr>
      </w:pPr>
      <w:r>
        <w:rPr>
          <w:rFonts w:hint="eastAsia"/>
          <w:sz w:val="24"/>
          <w:szCs w:val="22"/>
        </w:rPr>
        <w:t>（2）有串通或弄虚作假或有其他违法行为的；</w:t>
      </w:r>
    </w:p>
    <w:p w14:paraId="01F3F57D">
      <w:pPr>
        <w:bidi w:val="0"/>
        <w:rPr>
          <w:rFonts w:hint="eastAsia"/>
          <w:sz w:val="24"/>
          <w:szCs w:val="22"/>
        </w:rPr>
      </w:pPr>
      <w:r>
        <w:rPr>
          <w:rFonts w:hint="eastAsia"/>
          <w:sz w:val="24"/>
          <w:szCs w:val="22"/>
        </w:rPr>
        <w:t>（3）不按磋商小组要求澄清、说明或补正的。</w:t>
      </w:r>
    </w:p>
    <w:p w14:paraId="40D0F60C">
      <w:pPr>
        <w:bidi w:val="0"/>
        <w:rPr>
          <w:rFonts w:hint="eastAsia"/>
          <w:sz w:val="24"/>
          <w:szCs w:val="22"/>
        </w:rPr>
      </w:pPr>
      <w:bookmarkStart w:id="256" w:name="_Toc495424160"/>
      <w:bookmarkStart w:id="257" w:name="_Toc495425099"/>
      <w:bookmarkStart w:id="258" w:name="_Toc495424893"/>
      <w:bookmarkStart w:id="259" w:name="_Toc13264"/>
      <w:r>
        <w:rPr>
          <w:rFonts w:hint="eastAsia"/>
          <w:sz w:val="24"/>
          <w:szCs w:val="22"/>
        </w:rPr>
        <w:t>3.2 详细</w:t>
      </w:r>
      <w:bookmarkEnd w:id="256"/>
      <w:bookmarkEnd w:id="257"/>
      <w:bookmarkEnd w:id="258"/>
      <w:bookmarkEnd w:id="259"/>
      <w:r>
        <w:rPr>
          <w:rFonts w:hint="eastAsia"/>
          <w:sz w:val="24"/>
          <w:szCs w:val="22"/>
        </w:rPr>
        <w:t>磋商</w:t>
      </w:r>
    </w:p>
    <w:p w14:paraId="6597D74E">
      <w:pPr>
        <w:bidi w:val="0"/>
        <w:rPr>
          <w:rFonts w:hint="eastAsia"/>
          <w:sz w:val="24"/>
          <w:szCs w:val="22"/>
        </w:rPr>
      </w:pPr>
      <w:r>
        <w:rPr>
          <w:rFonts w:hint="eastAsia"/>
          <w:sz w:val="24"/>
          <w:szCs w:val="22"/>
        </w:rPr>
        <w:t>3.2.1 磋商小组集中与单一响应人分别进行磋商。磋商顺序为省交易中心系统默认顺序，在磋商中，磋商双方可以就磋商项目所涉及的价格、技术、服务、合同草案条款等进行实质性磋商，但磋商的任何一方不得透露与磋商有关的其他响应人的商业秘密、技术资料、价格和其他信息。</w:t>
      </w:r>
    </w:p>
    <w:p w14:paraId="77C8BB25">
      <w:pPr>
        <w:bidi w:val="0"/>
        <w:rPr>
          <w:rFonts w:hint="eastAsia"/>
          <w:sz w:val="24"/>
          <w:szCs w:val="22"/>
        </w:rPr>
      </w:pPr>
      <w:r>
        <w:rPr>
          <w:rFonts w:hint="eastAsia"/>
          <w:sz w:val="24"/>
          <w:szCs w:val="22"/>
        </w:rPr>
        <w:t>3.2.2 在磋商过程中，磋商小组可以根据竞争性磋商文件和磋商情况实质性变动采购需求中的技术、服务要求以及合同草案条款，但不得变动竞争性磋商文件中的其他内容。实质性变动的内容，须经采购人代表确认。</w:t>
      </w:r>
    </w:p>
    <w:p w14:paraId="100853E7">
      <w:pPr>
        <w:bidi w:val="0"/>
        <w:rPr>
          <w:rFonts w:hint="eastAsia"/>
          <w:sz w:val="24"/>
          <w:szCs w:val="22"/>
        </w:rPr>
      </w:pPr>
      <w:r>
        <w:rPr>
          <w:rFonts w:hint="eastAsia"/>
          <w:sz w:val="24"/>
          <w:szCs w:val="22"/>
        </w:rPr>
        <w:t>3.2.3 对竞争性磋商文件作出的实质性变动是竞争性磋商文件的有效组成部分，磋商小组应当以书面形式同时通知所有参加磋商的响应人。</w:t>
      </w:r>
    </w:p>
    <w:p w14:paraId="00000342">
      <w:pPr>
        <w:bidi w:val="0"/>
        <w:rPr>
          <w:rFonts w:hint="eastAsia"/>
          <w:sz w:val="24"/>
          <w:szCs w:val="22"/>
        </w:rPr>
      </w:pPr>
      <w:r>
        <w:rPr>
          <w:rFonts w:hint="eastAsia"/>
          <w:sz w:val="24"/>
          <w:szCs w:val="22"/>
        </w:rPr>
        <w:t>3.2.4 竞争性磋商文件不能详细列明采购标的的技术、服务要求，需经磋商由响应人提供最终设计方案或解决方案的，磋商结束后，磋商小组应当按照少数服从多数的原则投票推荐3家以上响应人的设计方案或者解决方案，并要求其在规定时间内提交最后报价。</w:t>
      </w:r>
    </w:p>
    <w:p w14:paraId="7EB2FD90">
      <w:pPr>
        <w:bidi w:val="0"/>
        <w:rPr>
          <w:rFonts w:hint="eastAsia"/>
          <w:sz w:val="24"/>
          <w:szCs w:val="22"/>
        </w:rPr>
      </w:pPr>
      <w:r>
        <w:rPr>
          <w:rFonts w:hint="eastAsia"/>
          <w:sz w:val="24"/>
          <w:szCs w:val="22"/>
        </w:rPr>
        <w:t>3.2.5竞争性磋商文件能够详细列明采购标的的技术、服务要求的，磋商结束后，磋商小组应当要求所有实质性响应的响应人在规定时间内提交最后报价，提交最后报价的响应人不得少于3家。</w:t>
      </w:r>
    </w:p>
    <w:p w14:paraId="16DBFF7D">
      <w:pPr>
        <w:bidi w:val="0"/>
        <w:rPr>
          <w:rFonts w:hint="eastAsia"/>
          <w:sz w:val="24"/>
          <w:szCs w:val="22"/>
        </w:rPr>
      </w:pPr>
      <w:r>
        <w:rPr>
          <w:rFonts w:hint="eastAsia"/>
          <w:sz w:val="24"/>
          <w:szCs w:val="22"/>
        </w:rPr>
        <w:t>3.2.6 最后报价（二轮报价）是响应人响应文件的有效组成部分【注：1、最后报价不得超出采购人预算价；2、最后报价明显低于成本价的，响应人需做出合理说明，否则将承担不被接受的风险】。</w:t>
      </w:r>
    </w:p>
    <w:p w14:paraId="172D6AF6">
      <w:pPr>
        <w:bidi w:val="0"/>
        <w:rPr>
          <w:rFonts w:hint="eastAsia"/>
          <w:sz w:val="24"/>
          <w:szCs w:val="22"/>
        </w:rPr>
      </w:pPr>
      <w:r>
        <w:rPr>
          <w:rFonts w:hint="eastAsia"/>
          <w:sz w:val="24"/>
          <w:szCs w:val="22"/>
        </w:rPr>
        <w:t>3.2.7 情况特殊,经磋商小组根据磋商现场情况，可以要求响应人适当进行多轮报价。</w:t>
      </w:r>
    </w:p>
    <w:p w14:paraId="205F7DF8">
      <w:pPr>
        <w:bidi w:val="0"/>
        <w:rPr>
          <w:rFonts w:hint="eastAsia"/>
          <w:sz w:val="24"/>
          <w:szCs w:val="22"/>
        </w:rPr>
      </w:pPr>
      <w:r>
        <w:rPr>
          <w:rFonts w:hint="eastAsia"/>
          <w:sz w:val="24"/>
          <w:szCs w:val="22"/>
        </w:rPr>
        <w:t>3.2.8 经磋商确定最终采购需求和提交最后报价的响应人后，由磋商小组采用综合评分法对提交最后报价的响应人的响应文件和最后报价进行综合评分。</w:t>
      </w:r>
    </w:p>
    <w:p w14:paraId="67B3D8A9">
      <w:pPr>
        <w:bidi w:val="0"/>
        <w:rPr>
          <w:rFonts w:hint="eastAsia"/>
          <w:sz w:val="24"/>
          <w:szCs w:val="22"/>
        </w:rPr>
      </w:pPr>
      <w:r>
        <w:rPr>
          <w:rFonts w:hint="eastAsia"/>
          <w:sz w:val="24"/>
          <w:szCs w:val="22"/>
        </w:rPr>
        <w:t>3.3 详细评审</w:t>
      </w:r>
    </w:p>
    <w:p w14:paraId="43AAFD99">
      <w:pPr>
        <w:bidi w:val="0"/>
        <w:rPr>
          <w:rFonts w:hint="eastAsia"/>
          <w:sz w:val="24"/>
          <w:szCs w:val="22"/>
        </w:rPr>
      </w:pPr>
      <w:r>
        <w:rPr>
          <w:rFonts w:hint="eastAsia"/>
          <w:sz w:val="24"/>
          <w:szCs w:val="22"/>
        </w:rPr>
        <w:t>3.3.1 磋商小组按本章第2.2款规定的量化因素和分值进行打分，并计算出综合评分得分。</w:t>
      </w:r>
    </w:p>
    <w:p w14:paraId="01BE63BC">
      <w:pPr>
        <w:bidi w:val="0"/>
        <w:rPr>
          <w:rFonts w:hint="eastAsia"/>
          <w:sz w:val="24"/>
          <w:szCs w:val="22"/>
        </w:rPr>
      </w:pPr>
      <w:r>
        <w:rPr>
          <w:rFonts w:hint="eastAsia"/>
          <w:sz w:val="24"/>
          <w:szCs w:val="22"/>
        </w:rPr>
        <w:t>3.3.2 评分分值计算保留小数点后两位，小数点后第三位“四舍五入”。</w:t>
      </w:r>
    </w:p>
    <w:p w14:paraId="755E9710">
      <w:pPr>
        <w:bidi w:val="0"/>
        <w:rPr>
          <w:rFonts w:hint="eastAsia"/>
          <w:sz w:val="24"/>
          <w:szCs w:val="22"/>
        </w:rPr>
      </w:pPr>
      <w:r>
        <w:rPr>
          <w:rFonts w:hint="eastAsia"/>
          <w:sz w:val="24"/>
          <w:szCs w:val="22"/>
        </w:rPr>
        <w:t>3.3.3 响应人的最终得分以全部小组成员打分的算术平均值为准，作为该响应人的最终得分。</w:t>
      </w:r>
    </w:p>
    <w:p w14:paraId="5AE09911">
      <w:pPr>
        <w:bidi w:val="0"/>
        <w:rPr>
          <w:rFonts w:hint="eastAsia"/>
          <w:sz w:val="24"/>
          <w:szCs w:val="22"/>
        </w:rPr>
      </w:pPr>
      <w:r>
        <w:rPr>
          <w:rFonts w:hint="eastAsia"/>
          <w:sz w:val="24"/>
          <w:szCs w:val="22"/>
        </w:rPr>
        <w:t>3.3.4 磋商小组发现响应人的报价明显低于其他磋商报价，使得其最终磋商报价可能低于其个别成本的，应当要求该响应人作出书面说明并提供相应的证明材料。响应人不能合理说明或者不能提供相应证明材料的，由磋商小组认定该响应人以低于成本报价竞标，其响应文件作无效处理。</w:t>
      </w:r>
    </w:p>
    <w:p w14:paraId="36BD6581">
      <w:pPr>
        <w:bidi w:val="0"/>
        <w:rPr>
          <w:rFonts w:hint="eastAsia"/>
          <w:sz w:val="24"/>
          <w:szCs w:val="22"/>
        </w:rPr>
      </w:pPr>
      <w:r>
        <w:rPr>
          <w:rFonts w:hint="eastAsia"/>
          <w:sz w:val="24"/>
          <w:szCs w:val="22"/>
        </w:rPr>
        <w:t>3.3.5 在磋商过程中，凡遇到磋商文件中无界定或界定不清、前后不一致使磋商小组意见有分歧且又难以协商一致的问题，均由磋商小组予以表决，获半数以上同意的即为通过，未获半数同意的即为否决。</w:t>
      </w:r>
    </w:p>
    <w:p w14:paraId="52C76748">
      <w:pPr>
        <w:bidi w:val="0"/>
        <w:rPr>
          <w:rFonts w:hint="eastAsia"/>
          <w:sz w:val="24"/>
          <w:szCs w:val="22"/>
        </w:rPr>
      </w:pPr>
      <w:bookmarkStart w:id="260" w:name="_Toc495424161"/>
      <w:bookmarkStart w:id="261" w:name="_Toc21380"/>
      <w:bookmarkStart w:id="262" w:name="_Toc495424894"/>
      <w:bookmarkStart w:id="263" w:name="_Toc495425100"/>
      <w:r>
        <w:rPr>
          <w:rFonts w:hint="eastAsia"/>
          <w:sz w:val="24"/>
          <w:szCs w:val="22"/>
        </w:rPr>
        <w:t>3.4 响应文件的澄清和补正</w:t>
      </w:r>
      <w:bookmarkEnd w:id="260"/>
      <w:bookmarkEnd w:id="261"/>
      <w:bookmarkEnd w:id="262"/>
      <w:bookmarkEnd w:id="263"/>
    </w:p>
    <w:p w14:paraId="6975006F">
      <w:pPr>
        <w:bidi w:val="0"/>
        <w:rPr>
          <w:rFonts w:hint="eastAsia"/>
          <w:sz w:val="24"/>
          <w:szCs w:val="22"/>
        </w:rPr>
      </w:pPr>
      <w:r>
        <w:rPr>
          <w:rFonts w:hint="eastAsia"/>
          <w:sz w:val="24"/>
          <w:szCs w:val="22"/>
        </w:rPr>
        <w:t>3.4.1 在磋商过程中，磋商小组可以书面形式要求响应人对所提交的响应文件中不明确的内容进行书面澄清或说明，或者对细微偏离进行补正。磋商小组不接受响应人主动提出的澄清、说明或补正。</w:t>
      </w:r>
    </w:p>
    <w:p w14:paraId="083A7F43">
      <w:pPr>
        <w:bidi w:val="0"/>
        <w:rPr>
          <w:rFonts w:hint="eastAsia"/>
          <w:sz w:val="24"/>
          <w:szCs w:val="22"/>
        </w:rPr>
      </w:pPr>
      <w:r>
        <w:rPr>
          <w:rFonts w:hint="eastAsia"/>
          <w:sz w:val="24"/>
          <w:szCs w:val="22"/>
        </w:rPr>
        <w:t>3.4.2 澄清、说明和补正不得超出响应文件的范围或者改变响应文件的实质性内容（算术性错误修正的除外）。响应人的书面澄清、说明和补正属于响应文件的组成部分。</w:t>
      </w:r>
    </w:p>
    <w:p w14:paraId="5AFE7599">
      <w:pPr>
        <w:bidi w:val="0"/>
        <w:rPr>
          <w:rFonts w:hint="eastAsia"/>
          <w:sz w:val="24"/>
          <w:szCs w:val="22"/>
        </w:rPr>
      </w:pPr>
      <w:r>
        <w:rPr>
          <w:rFonts w:hint="eastAsia"/>
          <w:sz w:val="24"/>
          <w:szCs w:val="22"/>
        </w:rPr>
        <w:t>3.4.3 磋商小组对响应人提交的澄清、说明或补正有疑问的，可以要求响应人进一步澄清、说明或补正，直至满足磋商小组的要求。</w:t>
      </w:r>
    </w:p>
    <w:p w14:paraId="4ECA5D49">
      <w:pPr>
        <w:bidi w:val="0"/>
        <w:rPr>
          <w:rFonts w:hint="eastAsia"/>
          <w:sz w:val="24"/>
          <w:szCs w:val="22"/>
        </w:rPr>
      </w:pPr>
      <w:bookmarkStart w:id="264" w:name="_Toc12022"/>
      <w:bookmarkStart w:id="265" w:name="_Toc495424895"/>
      <w:bookmarkStart w:id="266" w:name="_Toc495424162"/>
      <w:bookmarkStart w:id="267" w:name="_Toc495425101"/>
      <w:r>
        <w:rPr>
          <w:rFonts w:hint="eastAsia"/>
          <w:sz w:val="24"/>
          <w:szCs w:val="22"/>
        </w:rPr>
        <w:t>3.5 评审结果</w:t>
      </w:r>
      <w:bookmarkEnd w:id="264"/>
      <w:bookmarkEnd w:id="265"/>
      <w:bookmarkEnd w:id="266"/>
      <w:bookmarkEnd w:id="267"/>
    </w:p>
    <w:p w14:paraId="52E8ABFE">
      <w:pPr>
        <w:bidi w:val="0"/>
        <w:rPr>
          <w:rFonts w:hint="eastAsia"/>
          <w:sz w:val="24"/>
          <w:szCs w:val="22"/>
        </w:rPr>
      </w:pPr>
      <w:r>
        <w:rPr>
          <w:rFonts w:hint="eastAsia"/>
          <w:sz w:val="24"/>
          <w:szCs w:val="22"/>
        </w:rPr>
        <w:t>3.5.1 除第二章“响应人须知”前附表授权直接确定成交人外，磋商小组按照得分由高到低的顺序推荐成交候选人，排名第一名的成交候选人为成交人。</w:t>
      </w:r>
    </w:p>
    <w:p w14:paraId="2A2B886E">
      <w:pPr>
        <w:bidi w:val="0"/>
        <w:rPr>
          <w:rFonts w:hint="eastAsia"/>
          <w:sz w:val="24"/>
          <w:szCs w:val="22"/>
        </w:rPr>
      </w:pPr>
      <w:r>
        <w:rPr>
          <w:rFonts w:hint="eastAsia"/>
          <w:sz w:val="24"/>
          <w:szCs w:val="22"/>
        </w:rPr>
        <w:t>3.5.2 磋商小组完成评审后，应当向采购人提交书面评审报告。</w:t>
      </w:r>
    </w:p>
    <w:p w14:paraId="3D6C9C50">
      <w:pPr>
        <w:bidi w:val="0"/>
        <w:rPr>
          <w:rFonts w:hint="eastAsia"/>
          <w:sz w:val="24"/>
          <w:szCs w:val="22"/>
        </w:rPr>
      </w:pPr>
      <w:r>
        <w:rPr>
          <w:rFonts w:hint="eastAsia"/>
          <w:sz w:val="24"/>
          <w:szCs w:val="22"/>
        </w:rPr>
        <w:t>3.5.3磋商小组完成评审后，采购人按规定程序向中标公司发出中标通知书，并对中标人提供的样品进行封存。</w:t>
      </w:r>
    </w:p>
    <w:p w14:paraId="2D887B2D">
      <w:r>
        <w:br w:type="page"/>
      </w:r>
    </w:p>
    <w:p w14:paraId="133D8984">
      <w:pPr>
        <w:pStyle w:val="2"/>
        <w:bidi w:val="0"/>
        <w:rPr>
          <w:rFonts w:hint="eastAsia"/>
        </w:rPr>
      </w:pPr>
      <w:bookmarkStart w:id="268" w:name="_Toc797"/>
      <w:bookmarkStart w:id="269" w:name="_Toc85320"/>
      <w:bookmarkStart w:id="270" w:name="_Toc533343991"/>
      <w:bookmarkStart w:id="271" w:name="_Toc476420675"/>
      <w:bookmarkStart w:id="272" w:name="_Toc476418878"/>
      <w:bookmarkStart w:id="273" w:name="_Toc258354121"/>
      <w:r>
        <w:rPr>
          <w:rFonts w:hint="eastAsia"/>
        </w:rPr>
        <w:t>第四章 合同条款及格式</w:t>
      </w:r>
      <w:bookmarkEnd w:id="268"/>
      <w:bookmarkStart w:id="274" w:name="_附件"/>
      <w:bookmarkEnd w:id="274"/>
    </w:p>
    <w:bookmarkEnd w:id="269"/>
    <w:bookmarkEnd w:id="270"/>
    <w:bookmarkEnd w:id="271"/>
    <w:bookmarkEnd w:id="272"/>
    <w:bookmarkEnd w:id="273"/>
    <w:p w14:paraId="4C4F0C5E">
      <w:pPr>
        <w:bidi w:val="0"/>
        <w:ind w:left="0" w:leftChars="0" w:firstLine="0" w:firstLineChars="0"/>
        <w:jc w:val="center"/>
        <w:rPr>
          <w:rFonts w:hint="eastAsia"/>
          <w:sz w:val="24"/>
          <w:szCs w:val="22"/>
        </w:rPr>
      </w:pPr>
      <w:r>
        <w:rPr>
          <w:rFonts w:hint="eastAsia"/>
          <w:sz w:val="24"/>
          <w:szCs w:val="22"/>
        </w:rPr>
        <w:t>合同书</w:t>
      </w:r>
    </w:p>
    <w:p w14:paraId="07F520EE">
      <w:pPr>
        <w:bidi w:val="0"/>
        <w:ind w:left="0" w:leftChars="0" w:firstLine="0" w:firstLineChars="0"/>
        <w:jc w:val="center"/>
        <w:rPr>
          <w:rFonts w:hint="eastAsia"/>
          <w:sz w:val="24"/>
          <w:szCs w:val="22"/>
        </w:rPr>
      </w:pPr>
      <w:r>
        <w:rPr>
          <w:rFonts w:hint="eastAsia"/>
          <w:sz w:val="24"/>
          <w:szCs w:val="22"/>
        </w:rPr>
        <w:t>（以下合同内容为范本，具体以签订合同内容为准）</w:t>
      </w:r>
    </w:p>
    <w:p w14:paraId="1E546F63">
      <w:pPr>
        <w:bidi w:val="0"/>
        <w:rPr>
          <w:rFonts w:hint="eastAsia" w:ascii="宋体" w:hAnsi="宋体" w:eastAsia="宋体" w:cs="宋体"/>
          <w:sz w:val="24"/>
          <w:szCs w:val="24"/>
        </w:rPr>
      </w:pPr>
      <w:r>
        <w:rPr>
          <w:rFonts w:hint="eastAsia" w:ascii="宋体" w:hAnsi="宋体" w:eastAsia="宋体" w:cs="宋体"/>
          <w:sz w:val="24"/>
          <w:szCs w:val="24"/>
        </w:rPr>
        <w:t>依据《中华人民共和国民法典》及20XX年XX月XX日</w:t>
      </w:r>
      <w:r>
        <w:rPr>
          <w:rFonts w:hint="eastAsia" w:cs="宋体"/>
          <w:sz w:val="24"/>
          <w:szCs w:val="24"/>
          <w:lang w:val="en-US" w:eastAsia="zh-CN"/>
        </w:rPr>
        <w:t>台前县新区人民医院（</w:t>
      </w:r>
      <w:r>
        <w:rPr>
          <w:rFonts w:hint="eastAsia" w:ascii="宋体" w:hAnsi="宋体" w:eastAsia="宋体" w:cs="宋体"/>
          <w:sz w:val="24"/>
          <w:szCs w:val="24"/>
        </w:rPr>
        <w:t>河南省人民医院</w:t>
      </w:r>
      <w:r>
        <w:rPr>
          <w:rFonts w:hint="eastAsia" w:ascii="宋体" w:hAnsi="宋体" w:eastAsia="宋体" w:cs="宋体"/>
          <w:sz w:val="24"/>
          <w:szCs w:val="24"/>
          <w:lang w:val="en-US" w:eastAsia="zh-CN"/>
        </w:rPr>
        <w:t>豫东北医院</w:t>
      </w:r>
      <w:r>
        <w:rPr>
          <w:rFonts w:hint="eastAsia" w:cs="宋体"/>
          <w:sz w:val="24"/>
          <w:szCs w:val="24"/>
          <w:lang w:val="en-US" w:eastAsia="zh-CN"/>
        </w:rPr>
        <w:t>）</w:t>
      </w:r>
      <w:r>
        <w:rPr>
          <w:rFonts w:hint="eastAsia" w:ascii="宋体" w:hAnsi="宋体" w:eastAsia="宋体" w:cs="宋体"/>
          <w:sz w:val="24"/>
          <w:szCs w:val="24"/>
        </w:rPr>
        <w:t>发出的中标通知书。</w:t>
      </w:r>
      <w:r>
        <w:rPr>
          <w:rFonts w:hint="eastAsia" w:cs="宋体"/>
          <w:sz w:val="24"/>
          <w:szCs w:val="24"/>
          <w:lang w:val="en-US" w:eastAsia="zh-CN"/>
        </w:rPr>
        <w:t>台前县新区人民医院（</w:t>
      </w:r>
      <w:r>
        <w:rPr>
          <w:rFonts w:hint="eastAsia" w:ascii="宋体" w:hAnsi="宋体" w:eastAsia="宋体" w:cs="宋体"/>
          <w:sz w:val="24"/>
          <w:szCs w:val="24"/>
        </w:rPr>
        <w:t>河南省人民医院</w:t>
      </w:r>
      <w:r>
        <w:rPr>
          <w:rFonts w:hint="eastAsia" w:ascii="宋体" w:hAnsi="宋体" w:eastAsia="宋体" w:cs="宋体"/>
          <w:sz w:val="24"/>
          <w:szCs w:val="24"/>
          <w:lang w:val="en-US" w:eastAsia="zh-CN"/>
        </w:rPr>
        <w:t>豫东北医院</w:t>
      </w:r>
      <w:r>
        <w:rPr>
          <w:rFonts w:hint="eastAsia" w:cs="宋体"/>
          <w:sz w:val="24"/>
          <w:szCs w:val="24"/>
          <w:lang w:val="en-US" w:eastAsia="zh-CN"/>
        </w:rPr>
        <w:t>）</w:t>
      </w:r>
      <w:r>
        <w:rPr>
          <w:rFonts w:hint="eastAsia" w:ascii="宋体" w:hAnsi="宋体" w:eastAsia="宋体" w:cs="宋体"/>
          <w:sz w:val="24"/>
          <w:szCs w:val="24"/>
        </w:rPr>
        <w:t>（以下简称“甲方”）和XXXXXX（以下简称“乙方”）本着平等互利的原则，甲乙双方对采购编号为[XXXXXX]的合同执行，经友好协商，达成以下合同条款，以兹共同遵照履行。</w:t>
      </w:r>
    </w:p>
    <w:p w14:paraId="646DE1C9">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第一条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甲方向乙方购买的产品、服务名称及价格</w:t>
      </w:r>
    </w:p>
    <w:p w14:paraId="58625AD8">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甲方向乙方购买的产品为XXXXXXXX。</w:t>
      </w:r>
    </w:p>
    <w:p w14:paraId="090E1392">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前述乙方产品的相应金额见附件一《合同金额清单》。</w:t>
      </w:r>
    </w:p>
    <w:p w14:paraId="3974DDF1">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乙方提供</w:t>
      </w:r>
      <w:r>
        <w:rPr>
          <w:rFonts w:hint="eastAsia" w:ascii="宋体" w:hAnsi="宋体" w:eastAsia="宋体" w:cs="宋体"/>
          <w:sz w:val="24"/>
          <w:szCs w:val="24"/>
          <w:lang w:val="en-US" w:eastAsia="zh-CN"/>
        </w:rPr>
        <w:t>设备</w:t>
      </w:r>
      <w:r>
        <w:rPr>
          <w:rFonts w:hint="eastAsia" w:ascii="宋体" w:hAnsi="宋体" w:eastAsia="宋体" w:cs="宋体"/>
          <w:sz w:val="24"/>
          <w:szCs w:val="24"/>
        </w:rPr>
        <w:t>的安装、调试</w:t>
      </w:r>
      <w:r>
        <w:rPr>
          <w:rFonts w:hint="eastAsia" w:ascii="宋体" w:hAnsi="宋体" w:eastAsia="宋体" w:cs="宋体"/>
          <w:sz w:val="24"/>
          <w:szCs w:val="24"/>
          <w:lang w:val="en-US" w:eastAsia="zh-CN"/>
        </w:rPr>
        <w:t>及其</w:t>
      </w:r>
      <w:r>
        <w:rPr>
          <w:rFonts w:hint="eastAsia" w:ascii="宋体" w:hAnsi="宋体" w:eastAsia="宋体" w:cs="宋体"/>
          <w:sz w:val="24"/>
          <w:szCs w:val="24"/>
        </w:rPr>
        <w:t>售后服务。</w:t>
      </w:r>
    </w:p>
    <w:p w14:paraId="55E19B14">
      <w:pPr>
        <w:bidi w:val="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硬件产品由原厂家提供质保，需要售后时由乙方进行联系并按售后承诺更换、维修。</w:t>
      </w:r>
    </w:p>
    <w:p w14:paraId="27348718">
      <w:pPr>
        <w:bidi w:val="0"/>
        <w:rPr>
          <w:rFonts w:hint="eastAsia" w:ascii="宋体" w:hAnsi="宋体" w:eastAsia="宋体" w:cs="宋体"/>
          <w:sz w:val="24"/>
          <w:szCs w:val="24"/>
        </w:rPr>
      </w:pPr>
      <w:r>
        <w:rPr>
          <w:rFonts w:hint="eastAsia" w:ascii="宋体" w:hAnsi="宋体" w:eastAsia="宋体" w:cs="宋体"/>
          <w:sz w:val="24"/>
          <w:szCs w:val="24"/>
          <w:lang w:eastAsia="zh-CN"/>
        </w:rPr>
        <w:t>第二条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w:t>
      </w:r>
      <w:r>
        <w:rPr>
          <w:rFonts w:hint="eastAsia" w:ascii="宋体" w:hAnsi="宋体" w:eastAsia="宋体" w:cs="宋体"/>
          <w:sz w:val="24"/>
          <w:szCs w:val="24"/>
          <w:lang w:val="en-US" w:eastAsia="zh-CN"/>
        </w:rPr>
        <w:t>单价</w:t>
      </w:r>
      <w:r>
        <w:rPr>
          <w:rFonts w:hint="eastAsia" w:ascii="宋体" w:hAnsi="宋体" w:eastAsia="宋体" w:cs="宋体"/>
          <w:sz w:val="24"/>
          <w:szCs w:val="24"/>
        </w:rPr>
        <w:t>金额</w:t>
      </w:r>
    </w:p>
    <w:p w14:paraId="5A2A2649">
      <w:pPr>
        <w:bidi w:val="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合同</w:t>
      </w:r>
      <w:r>
        <w:rPr>
          <w:rFonts w:hint="eastAsia" w:ascii="宋体" w:hAnsi="宋体" w:eastAsia="宋体" w:cs="宋体"/>
          <w:sz w:val="24"/>
          <w:szCs w:val="24"/>
          <w:lang w:val="en-US" w:eastAsia="zh-CN"/>
        </w:rPr>
        <w:t>单价</w:t>
      </w:r>
      <w:r>
        <w:rPr>
          <w:rFonts w:hint="eastAsia" w:ascii="宋体" w:hAnsi="宋体" w:eastAsia="宋体" w:cs="宋体"/>
          <w:sz w:val="24"/>
          <w:szCs w:val="24"/>
        </w:rPr>
        <w:t>总</w:t>
      </w:r>
      <w:r>
        <w:rPr>
          <w:rFonts w:hint="eastAsia" w:ascii="宋体" w:hAnsi="宋体" w:eastAsia="宋体" w:cs="宋体"/>
          <w:sz w:val="24"/>
          <w:szCs w:val="24"/>
          <w:lang w:val="en-US" w:eastAsia="zh-CN"/>
        </w:rPr>
        <w:t>详见清单。</w:t>
      </w:r>
    </w:p>
    <w:p w14:paraId="7D8E15E1">
      <w:pPr>
        <w:bidi w:val="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合同金额包括硬件产品、包装、仓储、运输、安装及乙方技术服务、三年售后服务及乙方将货物运到甲方指定地点的增值税、其他税费、运杂费、保险费等。</w:t>
      </w:r>
    </w:p>
    <w:p w14:paraId="7DFFC48E">
      <w:pPr>
        <w:bidi w:val="0"/>
        <w:rPr>
          <w:rFonts w:hint="eastAsia" w:ascii="宋体" w:hAnsi="宋体" w:eastAsia="宋体" w:cs="宋体"/>
          <w:sz w:val="24"/>
          <w:szCs w:val="24"/>
        </w:rPr>
      </w:pPr>
      <w:r>
        <w:rPr>
          <w:rFonts w:hint="eastAsia" w:ascii="宋体" w:hAnsi="宋体" w:eastAsia="宋体" w:cs="宋体"/>
          <w:sz w:val="24"/>
          <w:szCs w:val="24"/>
          <w:lang w:eastAsia="zh-CN"/>
        </w:rPr>
        <w:t>第三条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付款方式</w:t>
      </w:r>
    </w:p>
    <w:p w14:paraId="748B8E21">
      <w:pPr>
        <w:bidi w:val="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产品总金额及付款方式</w:t>
      </w:r>
    </w:p>
    <w:p w14:paraId="69BA71E9">
      <w:pPr>
        <w:pStyle w:val="9"/>
        <w:rPr>
          <w:rFonts w:hint="default" w:eastAsia="宋体"/>
          <w:color w:val="FF0000"/>
          <w:lang w:val="en-US" w:eastAsia="zh-CN"/>
        </w:rPr>
      </w:pPr>
      <w:r>
        <w:rPr>
          <w:rFonts w:hint="eastAsia" w:cs="宋体"/>
          <w:color w:val="FF0000"/>
          <w:sz w:val="24"/>
          <w:szCs w:val="24"/>
          <w:lang w:val="en-US" w:eastAsia="zh-CN"/>
        </w:rPr>
        <w:t>合同签订后，乙方货到安装调试完成，经甲方使用部门验收合格后，甲方向乙方支付合同金额的90%，剩余10%在合同期满（一年）后，经豫东北医院信息科确认后一次性不计利息支付给乙方。</w:t>
      </w:r>
    </w:p>
    <w:p w14:paraId="0FA77EC3">
      <w:pPr>
        <w:bidi w:val="0"/>
        <w:rPr>
          <w:rFonts w:hint="eastAsia" w:ascii="宋体" w:hAnsi="宋体" w:eastAsia="宋体" w:cs="宋体"/>
          <w:color w:val="C00000"/>
          <w:sz w:val="24"/>
          <w:szCs w:val="24"/>
        </w:rPr>
      </w:pPr>
      <w:r>
        <w:rPr>
          <w:rFonts w:hint="eastAsia" w:ascii="宋体" w:hAnsi="宋体" w:eastAsia="宋体" w:cs="宋体"/>
          <w:color w:val="FF0000"/>
          <w:sz w:val="24"/>
          <w:szCs w:val="24"/>
          <w:lang w:val="en-US" w:eastAsia="zh-CN"/>
        </w:rPr>
        <w:t>（二）</w:t>
      </w:r>
      <w:r>
        <w:rPr>
          <w:rFonts w:hint="eastAsia" w:ascii="宋体" w:hAnsi="宋体" w:eastAsia="宋体" w:cs="宋体"/>
          <w:color w:val="FF0000"/>
          <w:sz w:val="24"/>
          <w:szCs w:val="24"/>
        </w:rPr>
        <w:t>付款时乙方须向甲方提供合法合规发票。</w:t>
      </w:r>
    </w:p>
    <w:p w14:paraId="1105DEE8">
      <w:pPr>
        <w:bidi w:val="0"/>
        <w:rPr>
          <w:rFonts w:hint="eastAsia" w:ascii="宋体" w:hAnsi="宋体" w:eastAsia="宋体" w:cs="宋体"/>
          <w:sz w:val="24"/>
          <w:szCs w:val="24"/>
        </w:rPr>
      </w:pPr>
      <w:r>
        <w:rPr>
          <w:rFonts w:hint="eastAsia" w:ascii="宋体" w:hAnsi="宋体" w:eastAsia="宋体" w:cs="宋体"/>
          <w:sz w:val="24"/>
          <w:szCs w:val="24"/>
          <w:lang w:eastAsia="zh-CN"/>
        </w:rPr>
        <w:t>第四条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甲方的权利与义务</w:t>
      </w:r>
    </w:p>
    <w:p w14:paraId="1EBDD7FF">
      <w:pPr>
        <w:bidi w:val="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甲方有权对乙方的工作提出意见。</w:t>
      </w:r>
    </w:p>
    <w:p w14:paraId="6500AADB">
      <w:pPr>
        <w:bidi w:val="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甲方有权要求乙方提供相关的技术咨询，确保硬件正常运行。</w:t>
      </w:r>
    </w:p>
    <w:p w14:paraId="4B955F23">
      <w:pPr>
        <w:bidi w:val="0"/>
        <w:rPr>
          <w:rFonts w:hint="eastAsia" w:ascii="宋体" w:hAnsi="宋体" w:eastAsia="宋体" w:cs="宋体"/>
          <w:sz w:val="24"/>
          <w:szCs w:val="24"/>
        </w:rPr>
      </w:pPr>
      <w:r>
        <w:rPr>
          <w:rFonts w:hint="eastAsia" w:ascii="宋体" w:hAnsi="宋体" w:eastAsia="宋体" w:cs="宋体"/>
          <w:sz w:val="24"/>
          <w:szCs w:val="24"/>
          <w:lang w:eastAsia="zh-CN"/>
        </w:rPr>
        <w:t>第五条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乙方的权利与义务</w:t>
      </w:r>
    </w:p>
    <w:p w14:paraId="5057A051">
      <w:pPr>
        <w:bidi w:val="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对于乙方提供的硬件中本身自带的第三方软件，包括但不限于操作系统软件、数据库软件，乙方应保证该第三方软件的合法性，确保甲方的合法使用权，若因此造成侵权，甲方将追究乙方的责任并由乙方赔偿全部损失。</w:t>
      </w:r>
    </w:p>
    <w:p w14:paraId="47264466">
      <w:pPr>
        <w:bidi w:val="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乙方应文明施工，确保施工安全，由此造成的安全事故及损失，由乙方承担。</w:t>
      </w:r>
    </w:p>
    <w:p w14:paraId="66533D59">
      <w:pPr>
        <w:bidi w:val="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乙方承诺，三年免费质保期内，在医院设专职的系统维护工程师，保证系统运行。一旦系统出现故障，乙方在接到通知后，30分钟内响应并处理，2小时内到达现场，到达现场后2小时内问题解决。如在规定时间内无法有效处理，则采取应急措施解决，不影响用户的正常工作。如果未能达到上述要求，则每次处罚合同总金额的千分之五元。</w:t>
      </w:r>
    </w:p>
    <w:p w14:paraId="4E7DB898">
      <w:pPr>
        <w:bidi w:val="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乙方承诺服务人员将签署保密协议，并遵守甲方相关制度。</w:t>
      </w:r>
    </w:p>
    <w:p w14:paraId="731BBCB3">
      <w:pPr>
        <w:bidi w:val="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乙方承诺要对服务人员进行岗前培训，具备甲方认可的相应技能及业务素质。</w:t>
      </w:r>
    </w:p>
    <w:p w14:paraId="0D64995C">
      <w:pPr>
        <w:bidi w:val="0"/>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乙方要按响应承诺安排项目服务人员，要保证项目服务团队成员的稳定性，不得随意更换服务人员，双方无重大事项，不得变更项目组人员，确需调整的，应按响应承诺的项目团队成员配置标准，提交书面建议给甲方。</w:t>
      </w:r>
    </w:p>
    <w:p w14:paraId="3F25F135">
      <w:pPr>
        <w:bidi w:val="0"/>
        <w:rPr>
          <w:rFonts w:hint="eastAsia" w:ascii="宋体" w:hAnsi="宋体" w:eastAsia="宋体" w:cs="宋体"/>
          <w:sz w:val="24"/>
          <w:szCs w:val="24"/>
        </w:rPr>
      </w:pPr>
      <w:r>
        <w:rPr>
          <w:rFonts w:hint="eastAsia" w:ascii="宋体" w:hAnsi="宋体" w:eastAsia="宋体" w:cs="宋体"/>
          <w:sz w:val="24"/>
          <w:szCs w:val="24"/>
          <w:lang w:eastAsia="zh-CN"/>
        </w:rPr>
        <w:t>第六条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项目验收</w:t>
      </w:r>
    </w:p>
    <w:p w14:paraId="71065C6F">
      <w:pPr>
        <w:bidi w:val="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项目验收时，乙方需提供下列技术资料文档资料及其电子版,如未完整提供则视为验收不合格：</w:t>
      </w:r>
      <w:r>
        <w:rPr>
          <w:rFonts w:hint="eastAsia" w:ascii="宋体" w:hAnsi="宋体" w:eastAsia="宋体" w:cs="宋体"/>
          <w:sz w:val="24"/>
          <w:szCs w:val="24"/>
          <w:lang w:val="en-US" w:eastAsia="zh-CN"/>
        </w:rPr>
        <w:t>供货产品入库单、出库单</w:t>
      </w:r>
      <w:r>
        <w:rPr>
          <w:rFonts w:hint="eastAsia" w:ascii="宋体" w:hAnsi="宋体" w:eastAsia="宋体" w:cs="宋体"/>
          <w:sz w:val="24"/>
          <w:szCs w:val="24"/>
        </w:rPr>
        <w:t>、</w:t>
      </w:r>
      <w:r>
        <w:rPr>
          <w:rFonts w:hint="eastAsia" w:ascii="宋体" w:hAnsi="宋体" w:eastAsia="宋体" w:cs="宋体"/>
          <w:sz w:val="24"/>
          <w:szCs w:val="24"/>
          <w:lang w:val="en-US" w:eastAsia="zh-CN"/>
        </w:rPr>
        <w:t>验收单、</w:t>
      </w:r>
      <w:r>
        <w:rPr>
          <w:rFonts w:hint="eastAsia" w:ascii="宋体" w:hAnsi="宋体" w:eastAsia="宋体" w:cs="宋体"/>
          <w:sz w:val="24"/>
          <w:szCs w:val="24"/>
        </w:rPr>
        <w:t>设备手册指南、系统设备清单（如：硬件摆放位置、IP地址</w:t>
      </w:r>
      <w:r>
        <w:rPr>
          <w:rFonts w:hint="eastAsia" w:ascii="宋体" w:hAnsi="宋体" w:eastAsia="宋体" w:cs="宋体"/>
          <w:sz w:val="24"/>
          <w:szCs w:val="24"/>
          <w:lang w:val="en-US" w:eastAsia="zh-CN"/>
        </w:rPr>
        <w:t>等</w:t>
      </w:r>
      <w:r>
        <w:rPr>
          <w:rFonts w:hint="eastAsia" w:ascii="宋体" w:hAnsi="宋体" w:eastAsia="宋体" w:cs="宋体"/>
          <w:sz w:val="24"/>
          <w:szCs w:val="24"/>
        </w:rPr>
        <w:t>）</w:t>
      </w:r>
      <w:r>
        <w:rPr>
          <w:rFonts w:hint="eastAsia" w:ascii="宋体" w:hAnsi="宋体" w:eastAsia="宋体" w:cs="宋体"/>
          <w:sz w:val="24"/>
          <w:szCs w:val="24"/>
          <w:lang w:val="en-US" w:eastAsia="zh-CN"/>
        </w:rPr>
        <w:t>等</w:t>
      </w:r>
      <w:r>
        <w:rPr>
          <w:rFonts w:hint="eastAsia" w:ascii="宋体" w:hAnsi="宋体" w:eastAsia="宋体" w:cs="宋体"/>
          <w:sz w:val="24"/>
          <w:szCs w:val="24"/>
        </w:rPr>
        <w:t>。</w:t>
      </w:r>
    </w:p>
    <w:p w14:paraId="65F64CBB">
      <w:pPr>
        <w:bidi w:val="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已安装硬件</w:t>
      </w:r>
      <w:r>
        <w:rPr>
          <w:rFonts w:hint="eastAsia" w:ascii="宋体" w:hAnsi="宋体" w:eastAsia="宋体" w:cs="宋体"/>
          <w:sz w:val="24"/>
          <w:szCs w:val="24"/>
          <w:lang w:val="en-US" w:eastAsia="zh-CN"/>
        </w:rPr>
        <w:t>如有线缆连接，则必须使用轧带或线管整理约束</w:t>
      </w:r>
      <w:r>
        <w:rPr>
          <w:rFonts w:hint="eastAsia" w:ascii="宋体" w:hAnsi="宋体" w:eastAsia="宋体" w:cs="宋体"/>
          <w:sz w:val="24"/>
          <w:szCs w:val="24"/>
        </w:rPr>
        <w:t>。</w:t>
      </w:r>
    </w:p>
    <w:p w14:paraId="4662EAAE">
      <w:pPr>
        <w:bidi w:val="0"/>
        <w:rPr>
          <w:rFonts w:hint="eastAsia" w:ascii="宋体" w:hAnsi="宋体" w:eastAsia="宋体" w:cs="宋体"/>
          <w:sz w:val="24"/>
          <w:szCs w:val="24"/>
        </w:rPr>
      </w:pPr>
      <w:r>
        <w:rPr>
          <w:rFonts w:hint="eastAsia" w:ascii="宋体" w:hAnsi="宋体" w:eastAsia="宋体" w:cs="宋体"/>
          <w:sz w:val="24"/>
          <w:szCs w:val="24"/>
          <w:lang w:eastAsia="zh-CN"/>
        </w:rPr>
        <w:t>第七条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保修及维护</w:t>
      </w:r>
    </w:p>
    <w:p w14:paraId="7B6C85DC">
      <w:pPr>
        <w:bidi w:val="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技术支持</w:t>
      </w:r>
    </w:p>
    <w:p w14:paraId="7A5F8D28">
      <w:pPr>
        <w:bidi w:val="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lang w:val="en-US" w:eastAsia="zh-CN"/>
        </w:rPr>
        <w:t>需要有专人驻场，负责获取甲方使用需求，并及时提供货物到场、安装和维修工作。</w:t>
      </w:r>
    </w:p>
    <w:p w14:paraId="69713B90">
      <w:pPr>
        <w:bidi w:val="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售后维修服务</w:t>
      </w:r>
    </w:p>
    <w:p w14:paraId="205154FE">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保修期</w:t>
      </w:r>
    </w:p>
    <w:p w14:paraId="27EF8752">
      <w:pPr>
        <w:bidi w:val="0"/>
        <w:rPr>
          <w:rFonts w:hint="eastAsia" w:ascii="宋体" w:hAnsi="宋体" w:eastAsia="宋体" w:cs="宋体"/>
          <w:sz w:val="24"/>
          <w:szCs w:val="24"/>
        </w:rPr>
      </w:pPr>
      <w:r>
        <w:rPr>
          <w:rFonts w:hint="eastAsia" w:ascii="宋体" w:hAnsi="宋体" w:eastAsia="宋体" w:cs="宋体"/>
          <w:sz w:val="24"/>
          <w:szCs w:val="24"/>
        </w:rPr>
        <w:t>验收合格之日起提供硬件</w:t>
      </w:r>
      <w:r>
        <w:rPr>
          <w:rFonts w:hint="eastAsia" w:cs="宋体"/>
          <w:sz w:val="24"/>
          <w:szCs w:val="24"/>
          <w:lang w:val="en-US" w:eastAsia="zh-CN"/>
        </w:rPr>
        <w:t>3</w:t>
      </w:r>
      <w:r>
        <w:rPr>
          <w:rFonts w:hint="eastAsia" w:ascii="宋体" w:hAnsi="宋体" w:eastAsia="宋体" w:cs="宋体"/>
          <w:sz w:val="24"/>
          <w:szCs w:val="24"/>
        </w:rPr>
        <w:t>年原厂保修，需返厂维修的部件乙方负责提供符合要求的替代产品，运费由乙方负担。</w:t>
      </w:r>
    </w:p>
    <w:p w14:paraId="733D6664">
      <w:pPr>
        <w:bidi w:val="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运维团队：</w:t>
      </w:r>
    </w:p>
    <w:p w14:paraId="51255B18">
      <w:pPr>
        <w:bidi w:val="0"/>
        <w:rPr>
          <w:rFonts w:hint="eastAsia" w:ascii="宋体" w:hAnsi="宋体" w:eastAsia="宋体" w:cs="宋体"/>
          <w:sz w:val="24"/>
          <w:szCs w:val="24"/>
        </w:rPr>
      </w:pPr>
      <w:r>
        <w:rPr>
          <w:rFonts w:hint="eastAsia" w:ascii="宋体" w:hAnsi="宋体" w:eastAsia="宋体" w:cs="宋体"/>
          <w:sz w:val="24"/>
          <w:szCs w:val="24"/>
        </w:rPr>
        <w:t>乙方在</w:t>
      </w:r>
      <w:r>
        <w:rPr>
          <w:rFonts w:hint="eastAsia" w:ascii="宋体" w:hAnsi="宋体" w:eastAsia="宋体" w:cs="宋体"/>
          <w:sz w:val="24"/>
          <w:szCs w:val="24"/>
          <w:lang w:val="en-US" w:eastAsia="zh-CN"/>
        </w:rPr>
        <w:t>台前县河南省人民医院豫东北医院</w:t>
      </w:r>
      <w:r>
        <w:rPr>
          <w:rFonts w:hint="eastAsia" w:ascii="宋体" w:hAnsi="宋体" w:eastAsia="宋体" w:cs="宋体"/>
          <w:sz w:val="24"/>
          <w:szCs w:val="24"/>
        </w:rPr>
        <w:t>组建</w:t>
      </w:r>
      <w:r>
        <w:rPr>
          <w:rFonts w:hint="eastAsia" w:ascii="宋体" w:hAnsi="宋体" w:eastAsia="宋体" w:cs="宋体"/>
          <w:sz w:val="24"/>
          <w:szCs w:val="24"/>
          <w:lang w:val="en-US" w:eastAsia="zh-CN"/>
        </w:rPr>
        <w:t>服务</w:t>
      </w:r>
      <w:r>
        <w:rPr>
          <w:rFonts w:hint="eastAsia" w:ascii="宋体" w:hAnsi="宋体" w:eastAsia="宋体" w:cs="宋体"/>
          <w:sz w:val="24"/>
          <w:szCs w:val="24"/>
        </w:rPr>
        <w:t>团队，</w:t>
      </w:r>
      <w:r>
        <w:rPr>
          <w:rFonts w:hint="eastAsia" w:ascii="宋体" w:hAnsi="宋体" w:eastAsia="宋体" w:cs="宋体"/>
          <w:sz w:val="24"/>
          <w:szCs w:val="24"/>
          <w:lang w:val="en-US" w:eastAsia="zh-CN"/>
        </w:rPr>
        <w:t>并设置备件备品仓库，</w:t>
      </w:r>
      <w:r>
        <w:rPr>
          <w:rFonts w:hint="eastAsia" w:ascii="宋体" w:hAnsi="宋体" w:eastAsia="宋体" w:cs="宋体"/>
          <w:sz w:val="24"/>
          <w:szCs w:val="24"/>
        </w:rPr>
        <w:t>为</w:t>
      </w:r>
      <w:r>
        <w:rPr>
          <w:rFonts w:hint="eastAsia" w:ascii="宋体" w:hAnsi="宋体" w:eastAsia="宋体" w:cs="宋体"/>
          <w:sz w:val="24"/>
          <w:szCs w:val="24"/>
          <w:lang w:val="en-US" w:eastAsia="zh-CN"/>
        </w:rPr>
        <w:t>甲方</w:t>
      </w:r>
      <w:r>
        <w:rPr>
          <w:rFonts w:hint="eastAsia" w:ascii="宋体" w:hAnsi="宋体" w:eastAsia="宋体" w:cs="宋体"/>
          <w:sz w:val="24"/>
          <w:szCs w:val="24"/>
        </w:rPr>
        <w:t>提供 7×24 小时响应服务需求。</w:t>
      </w:r>
    </w:p>
    <w:p w14:paraId="33DAF1C9">
      <w:pPr>
        <w:bidi w:val="0"/>
        <w:rPr>
          <w:rFonts w:hint="eastAsia" w:ascii="宋体" w:hAnsi="宋体" w:eastAsia="宋体" w:cs="宋体"/>
          <w:sz w:val="24"/>
          <w:szCs w:val="24"/>
        </w:rPr>
      </w:pPr>
      <w:r>
        <w:rPr>
          <w:rFonts w:hint="eastAsia" w:ascii="宋体" w:hAnsi="宋体" w:eastAsia="宋体" w:cs="宋体"/>
          <w:sz w:val="24"/>
          <w:szCs w:val="24"/>
          <w:lang w:eastAsia="zh-CN"/>
        </w:rPr>
        <w:t>第八条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保密约定</w:t>
      </w:r>
    </w:p>
    <w:p w14:paraId="007CF437">
      <w:pPr>
        <w:bidi w:val="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软件的成交价格是已在充分考虑甲方实际情况下所定的优惠价格，亦为乙方的商业秘密，甲方承诺在本合同签订后叁年内不将此价格透露给任何第三方,包括但不限于院内未直接参与合同与采购谈判的其他工作人员。</w:t>
      </w:r>
    </w:p>
    <w:p w14:paraId="4A8A6A6D">
      <w:pPr>
        <w:bidi w:val="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甲方不得将乙方提供的文档、资料向第三方（包括但不限于院内未直接参与合同与采购谈判的其他工作人员）泄露。</w:t>
      </w:r>
    </w:p>
    <w:p w14:paraId="6436C212">
      <w:pPr>
        <w:bidi w:val="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甲方保证不向甲方以外地任何人透漏任何乙方商业机密及专有知识、专有技术或乙方的知识产权。</w:t>
      </w:r>
    </w:p>
    <w:p w14:paraId="32562F2A">
      <w:pPr>
        <w:bidi w:val="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甲方提供的为推进本项目合作的所有的商业秘密、技术秘密、以及其他具有保密性的信息，包括由甲方向乙方提供的详细资料，和所有与本项目相关的其他资料等。秘密信息仅备用与甲方或合同所规定的用途，除非得到甲方的书面同意，不得向任何第三方透漏，否则甲方有权追究相关法律责任。</w:t>
      </w:r>
    </w:p>
    <w:p w14:paraId="1470AAE8">
      <w:pPr>
        <w:bidi w:val="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乙方对在工作过程中接触到的甲方的任何资料、文件、数据（无论书面的或电子的）以及对为甲方服务形成的任何交付物，负有为甲方保密的责任。乙方未得到甲方同意，不得以任何方式向任何第三方提供或透露。</w:t>
      </w:r>
    </w:p>
    <w:p w14:paraId="7C7E9B99">
      <w:pPr>
        <w:bidi w:val="0"/>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甲方向乙方提供的任何资料、文件和信息在乙方服务结束后，乙方应及时归还甲方，电子文档的，应从自己的电脑等存储设备上永久删除。</w:t>
      </w:r>
    </w:p>
    <w:p w14:paraId="6B0D1577">
      <w:pPr>
        <w:bidi w:val="0"/>
        <w:rPr>
          <w:rFonts w:hint="eastAsia" w:ascii="宋体" w:hAnsi="宋体" w:eastAsia="宋体" w:cs="宋体"/>
          <w:sz w:val="24"/>
          <w:szCs w:val="24"/>
        </w:rPr>
      </w:pPr>
      <w:r>
        <w:rPr>
          <w:rFonts w:hint="eastAsia" w:ascii="宋体" w:hAnsi="宋体" w:eastAsia="宋体" w:cs="宋体"/>
          <w:sz w:val="24"/>
          <w:szCs w:val="24"/>
          <w:lang w:eastAsia="zh-CN"/>
        </w:rPr>
        <w:t>第九条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违约及诉讼</w:t>
      </w:r>
    </w:p>
    <w:p w14:paraId="0CE391E1">
      <w:pPr>
        <w:bidi w:val="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双方将本着长期友好合作的精神，协商解决合同执行过程中的问题及纠纷。双方一致同意，当协商不成时，甲乙双方均可向甲方所在地人民法院起诉，结果是最终的，对双方均有约束力。本合同中包含的任何一项条款在被认为无效或不具有强制执行力的情况下，该项 条款的无效性或不可执行性不得影响其它条款的执行。</w:t>
      </w:r>
    </w:p>
    <w:p w14:paraId="68ACCE11">
      <w:pPr>
        <w:bidi w:val="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任何一方违反其在本合同项下的任何义务，均被视为违约行为，违约方应当承担采取补救措施、支付违约金或赔偿损失等违约责任。</w:t>
      </w:r>
    </w:p>
    <w:p w14:paraId="0521700E">
      <w:pPr>
        <w:bidi w:val="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如乙方未能按时完成本合同约定的项目工期，每逾期一日，乙方应向甲方支付合同总金额千分之五的逾期交付违约金，如逾期付款超过六十工作日，甲方有权单方终止本合同。乙方应当向甲方支付所有甲方已经发生的前期投入费用（包括硬件投入）并承担因乙方违约给甲方造成的全部损失。</w:t>
      </w:r>
    </w:p>
    <w:p w14:paraId="69F3E6E2">
      <w:pPr>
        <w:bidi w:val="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任何一方违反本合同第九条的约定，守约方有权立即单方解除本合同。如守约方因对方的违约行为遭受了损失（包括但不限于守约方因采取补救措施所发生的合理的律师费用、调查取证费及执行该赔偿的费用），违约方还应向守约方赔偿全部损失。上述赔偿并不免除双方在本合同项下的其他义务。</w:t>
      </w:r>
    </w:p>
    <w:p w14:paraId="7C305163">
      <w:pPr>
        <w:bidi w:val="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如软件验收不合格，则令其改至合格为止。如硬件产品技术参数未达到原有要求，则必须更换不低于合同要求的硬件产品；如质量不合格，则必须更换技术参数不低于合同要求的硬件产品。如乙方一直未达到甲方验收要求，则不予以支付合同费用。</w:t>
      </w:r>
    </w:p>
    <w:p w14:paraId="3341F9BB">
      <w:pPr>
        <w:bidi w:val="0"/>
        <w:rPr>
          <w:rFonts w:hint="eastAsia" w:ascii="宋体" w:hAnsi="宋体" w:eastAsia="宋体" w:cs="宋体"/>
          <w:sz w:val="24"/>
          <w:szCs w:val="24"/>
        </w:rPr>
      </w:pPr>
      <w:r>
        <w:rPr>
          <w:rFonts w:hint="eastAsia" w:ascii="宋体" w:hAnsi="宋体" w:eastAsia="宋体" w:cs="宋体"/>
          <w:sz w:val="24"/>
          <w:szCs w:val="24"/>
          <w:lang w:eastAsia="zh-CN"/>
        </w:rPr>
        <w:t>第十条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合同暂停与终止</w:t>
      </w:r>
    </w:p>
    <w:p w14:paraId="59EDBEBE">
      <w:pPr>
        <w:bidi w:val="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合同变更</w:t>
      </w:r>
    </w:p>
    <w:p w14:paraId="03EB6EBD">
      <w:pPr>
        <w:bidi w:val="0"/>
        <w:rPr>
          <w:rFonts w:hint="eastAsia" w:ascii="宋体" w:hAnsi="宋体" w:eastAsia="宋体" w:cs="宋体"/>
          <w:sz w:val="24"/>
          <w:szCs w:val="24"/>
        </w:rPr>
      </w:pPr>
      <w:r>
        <w:rPr>
          <w:rFonts w:hint="eastAsia" w:ascii="宋体" w:hAnsi="宋体" w:eastAsia="宋体" w:cs="宋体"/>
          <w:sz w:val="24"/>
          <w:szCs w:val="24"/>
        </w:rPr>
        <w:t>本合同履行期间，发生特殊情况时，甲、乙任何一方需变更本合同的，要求变更一方应及时书面通知对方，征得对方同意后，双方在规定的时限内（书面通知发出3天内）签订书面变更协议，该协议将成为合同不可分割的部分。未经双方签署书面文件，任何一方无权变更本合同，否则，由此造成对方的经济损失，由责任方承担。</w:t>
      </w:r>
    </w:p>
    <w:p w14:paraId="43BA1A24">
      <w:pPr>
        <w:bidi w:val="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合同终止</w:t>
      </w:r>
    </w:p>
    <w:p w14:paraId="56C5604A">
      <w:pPr>
        <w:bidi w:val="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除本合同已有约定的合同终止情形外，若乙方未能履行合同项下的任何义务，在收到甲方发出的要求乙方纠正违约行为的通知后15天内（含本数）仍未能采取纠正措施，则甲方可向乙方发出书面解除合同的通知，终止全部或部分合同。此种合同终止并不损害或影响甲方根据本合同已采取或将采取任何补救措施的权利。</w:t>
      </w:r>
    </w:p>
    <w:p w14:paraId="136BBA04">
      <w:pPr>
        <w:bidi w:val="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甲方终止部分或全部合同后，可以按其认为适当的条件和方式向第三方采购乙方未交付的合同硬件或已交付但被退回的合同硬件。乙方应承担甲方向第三方购买本应由乙方供应的合同硬件所发生的所有额外费用，并应按照甲方要求继续履行合同未终止部分。</w:t>
      </w:r>
    </w:p>
    <w:p w14:paraId="0D186E12">
      <w:pPr>
        <w:bidi w:val="0"/>
        <w:rPr>
          <w:rFonts w:hint="eastAsia" w:ascii="宋体" w:hAnsi="宋体" w:eastAsia="宋体" w:cs="宋体"/>
          <w:sz w:val="24"/>
          <w:szCs w:val="24"/>
        </w:rPr>
      </w:pPr>
      <w:r>
        <w:rPr>
          <w:rFonts w:hint="eastAsia" w:ascii="宋体" w:hAnsi="宋体" w:eastAsia="宋体" w:cs="宋体"/>
          <w:sz w:val="24"/>
          <w:szCs w:val="24"/>
          <w:lang w:eastAsia="zh-CN"/>
        </w:rPr>
        <w:t>第十一条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不可抗力</w:t>
      </w:r>
    </w:p>
    <w:p w14:paraId="5CD76FD8">
      <w:pPr>
        <w:bidi w:val="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不可抗力是指不能预见、不能避免并不能克服的客观情况。</w:t>
      </w:r>
    </w:p>
    <w:p w14:paraId="47CCE3A6">
      <w:pPr>
        <w:bidi w:val="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任何一方由于不可抗力而影响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14:paraId="54FAFD0C">
      <w:pPr>
        <w:bidi w:val="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受到不可抗力影响的一方应在不可抗力事件发生后2周内（含本数），取得有关部门关于发生不可抗力事件的证明文件，并以传真等书面形式提交另一方确认。否则，无权以不可抗力为由要求减轻或免除合同责任。</w:t>
      </w:r>
    </w:p>
    <w:p w14:paraId="1D90C05A">
      <w:pPr>
        <w:bidi w:val="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 xml:space="preserve">如果不可抗力事件的影响已达120天或双方预计不可抗力事件的影响将延续120天（含本数）以上时，任何一方有权终止本合同。由于合同终止所引起的后续问题由双方友好协商解决。 </w:t>
      </w:r>
    </w:p>
    <w:p w14:paraId="5EC72218">
      <w:pPr>
        <w:bidi w:val="0"/>
        <w:rPr>
          <w:rFonts w:hint="eastAsia" w:ascii="宋体" w:hAnsi="宋体" w:eastAsia="宋体" w:cs="宋体"/>
          <w:sz w:val="24"/>
          <w:szCs w:val="24"/>
        </w:rPr>
      </w:pPr>
      <w:r>
        <w:rPr>
          <w:rFonts w:hint="eastAsia" w:ascii="宋体" w:hAnsi="宋体" w:eastAsia="宋体" w:cs="宋体"/>
          <w:sz w:val="24"/>
          <w:szCs w:val="24"/>
          <w:lang w:eastAsia="zh-CN"/>
        </w:rPr>
        <w:t>第十二条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其它约定</w:t>
      </w:r>
    </w:p>
    <w:p w14:paraId="7D90C9BF">
      <w:pPr>
        <w:bidi w:val="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本合同书一式陆份，具有同等法律效力。甲方执肆份，乙方执贰份。</w:t>
      </w:r>
    </w:p>
    <w:p w14:paraId="74AF0830">
      <w:pPr>
        <w:bidi w:val="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本合同自双方法定代表人或其授权代表人签字，并加盖双方公章或合同章后即生效。</w:t>
      </w:r>
    </w:p>
    <w:p w14:paraId="1E55F603">
      <w:pPr>
        <w:bidi w:val="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未尽事宜，双方将协商解决，并就具体问题签署补充合同或备忘录。附件与合同具有同等法律效力。</w:t>
      </w:r>
    </w:p>
    <w:p w14:paraId="6A916031">
      <w:pPr>
        <w:ind w:left="0" w:leftChars="0" w:firstLine="0" w:firstLineChars="0"/>
        <w:rPr>
          <w:rFonts w:hint="eastAsia" w:ascii="宋体" w:hAnsi="宋体" w:eastAsia="宋体" w:cs="宋体"/>
          <w:b/>
          <w:sz w:val="24"/>
        </w:rPr>
      </w:pPr>
    </w:p>
    <w:tbl>
      <w:tblPr>
        <w:tblStyle w:val="23"/>
        <w:tblW w:w="87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4261"/>
      </w:tblGrid>
      <w:tr w14:paraId="1E66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nil"/>
              <w:left w:val="nil"/>
              <w:bottom w:val="nil"/>
              <w:right w:val="nil"/>
            </w:tcBorders>
            <w:noWrap w:val="0"/>
            <w:vAlign w:val="top"/>
          </w:tcPr>
          <w:p w14:paraId="4B98EC14">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甲方：</w:t>
            </w:r>
            <w:r>
              <w:rPr>
                <w:rFonts w:hint="eastAsia" w:cs="宋体"/>
                <w:b/>
                <w:color w:val="000000" w:themeColor="text1"/>
                <w:sz w:val="28"/>
                <w:szCs w:val="28"/>
                <w:lang w:val="en-US" w:eastAsia="zh-CN"/>
                <w14:textFill>
                  <w14:solidFill>
                    <w14:schemeClr w14:val="tx1"/>
                  </w14:solidFill>
                </w14:textFill>
              </w:rPr>
              <w:t>台前县新区人民</w:t>
            </w:r>
            <w:r>
              <w:rPr>
                <w:rFonts w:hint="eastAsia" w:ascii="宋体" w:hAnsi="宋体" w:eastAsia="宋体" w:cs="宋体"/>
                <w:b/>
                <w:color w:val="000000" w:themeColor="text1"/>
                <w:sz w:val="28"/>
                <w:szCs w:val="28"/>
                <w:lang w:val="en-US" w:eastAsia="zh-CN"/>
                <w14:textFill>
                  <w14:solidFill>
                    <w14:schemeClr w14:val="tx1"/>
                  </w14:solidFill>
                </w14:textFill>
              </w:rPr>
              <w:t>医院</w:t>
            </w:r>
          </w:p>
          <w:p w14:paraId="10EE7AE0">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000000" w:themeColor="text1"/>
                <w:sz w:val="28"/>
                <w:szCs w:val="28"/>
                <w14:textFill>
                  <w14:solidFill>
                    <w14:schemeClr w14:val="tx1"/>
                  </w14:solidFill>
                </w14:textFill>
              </w:rPr>
            </w:pPr>
          </w:p>
          <w:p w14:paraId="1A4C205C">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000000" w:themeColor="text1"/>
                <w:sz w:val="28"/>
                <w:szCs w:val="28"/>
                <w14:textFill>
                  <w14:solidFill>
                    <w14:schemeClr w14:val="tx1"/>
                  </w14:solidFill>
                </w14:textFill>
              </w:rPr>
            </w:pPr>
          </w:p>
          <w:p w14:paraId="43070B6A">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授权代表（签字）：</w:t>
            </w:r>
          </w:p>
          <w:p w14:paraId="6AA8E0D3">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78EAA2E8">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p>
          <w:p w14:paraId="17C30C83">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电话：</w:t>
            </w:r>
          </w:p>
          <w:p w14:paraId="50F05D4E">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传真：</w:t>
            </w:r>
          </w:p>
          <w:p w14:paraId="2D06E83B">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tc>
        <w:tc>
          <w:tcPr>
            <w:tcW w:w="4261" w:type="dxa"/>
            <w:tcBorders>
              <w:top w:val="nil"/>
              <w:left w:val="nil"/>
              <w:bottom w:val="nil"/>
              <w:right w:val="nil"/>
            </w:tcBorders>
            <w:noWrap w:val="0"/>
            <w:vAlign w:val="top"/>
          </w:tcPr>
          <w:p w14:paraId="5C086CC5">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乙方：</w:t>
            </w:r>
          </w:p>
          <w:p w14:paraId="3B488174">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000000" w:themeColor="text1"/>
                <w:sz w:val="28"/>
                <w:szCs w:val="28"/>
                <w14:textFill>
                  <w14:solidFill>
                    <w14:schemeClr w14:val="tx1"/>
                  </w14:solidFill>
                </w14:textFill>
              </w:rPr>
            </w:pPr>
          </w:p>
          <w:p w14:paraId="16AF2018">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授权代表（签字）：</w:t>
            </w:r>
          </w:p>
          <w:p w14:paraId="2C89B394">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67A894D8">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地址： </w:t>
            </w:r>
          </w:p>
          <w:p w14:paraId="01551EC3">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8"/>
                <w:szCs w:val="28"/>
                <w14:textFill>
                  <w14:solidFill>
                    <w14:schemeClr w14:val="tx1"/>
                  </w14:solidFill>
                </w14:textFill>
              </w:rPr>
            </w:pPr>
          </w:p>
          <w:p w14:paraId="49E02BA6">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电话：</w:t>
            </w:r>
          </w:p>
          <w:p w14:paraId="7EADA10D">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传真：</w:t>
            </w:r>
          </w:p>
          <w:p w14:paraId="5F1C838D">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tc>
      </w:tr>
    </w:tbl>
    <w:p w14:paraId="51273937">
      <w:pPr>
        <w:ind w:left="0" w:leftChars="0" w:firstLine="0" w:firstLineChars="0"/>
        <w:rPr>
          <w:rFonts w:hint="eastAsia" w:ascii="宋体" w:hAnsi="宋体" w:eastAsia="宋体" w:cs="宋体"/>
          <w:b/>
          <w:sz w:val="24"/>
        </w:rPr>
      </w:pPr>
      <w:r>
        <w:rPr>
          <w:rFonts w:hint="eastAsia" w:ascii="宋体" w:hAnsi="宋体" w:eastAsia="宋体" w:cs="宋体"/>
          <w:b/>
          <w:sz w:val="24"/>
        </w:rPr>
        <w:br w:type="page"/>
      </w:r>
    </w:p>
    <w:p w14:paraId="719EA1FB">
      <w:pPr>
        <w:bidi w:val="0"/>
        <w:rPr>
          <w:rFonts w:hint="eastAsia"/>
          <w:b/>
          <w:bCs/>
        </w:rPr>
      </w:pPr>
      <w:r>
        <w:rPr>
          <w:rFonts w:hint="eastAsia"/>
          <w:b/>
          <w:bCs/>
        </w:rPr>
        <w:t>以下的文件作为本合同的附件：</w:t>
      </w:r>
    </w:p>
    <w:p w14:paraId="55EA4250">
      <w:pPr>
        <w:bidi w:val="0"/>
        <w:rPr>
          <w:rFonts w:hint="eastAsia"/>
          <w:b/>
          <w:bCs/>
        </w:rPr>
      </w:pPr>
      <w:r>
        <w:rPr>
          <w:rFonts w:hint="eastAsia"/>
          <w:b/>
          <w:bCs/>
        </w:rPr>
        <w:t>附件一：《合同</w:t>
      </w:r>
      <w:r>
        <w:rPr>
          <w:rFonts w:hint="eastAsia"/>
          <w:b/>
          <w:bCs/>
          <w:lang w:val="en-US" w:eastAsia="zh-CN"/>
        </w:rPr>
        <w:t>单价</w:t>
      </w:r>
      <w:r>
        <w:rPr>
          <w:rFonts w:hint="eastAsia"/>
          <w:b/>
          <w:bCs/>
        </w:rPr>
        <w:t>金额清单》</w:t>
      </w:r>
    </w:p>
    <w:tbl>
      <w:tblPr>
        <w:tblStyle w:val="23"/>
        <w:tblW w:w="7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2459"/>
        <w:gridCol w:w="2646"/>
      </w:tblGrid>
      <w:tr w14:paraId="5D2C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083" w:type="dxa"/>
            <w:tcBorders>
              <w:top w:val="single" w:color="auto" w:sz="4" w:space="0"/>
              <w:left w:val="single" w:color="auto" w:sz="4" w:space="0"/>
              <w:bottom w:val="single" w:color="auto" w:sz="4" w:space="0"/>
              <w:right w:val="single" w:color="auto" w:sz="4" w:space="0"/>
            </w:tcBorders>
            <w:noWrap w:val="0"/>
            <w:vAlign w:val="center"/>
          </w:tcPr>
          <w:p w14:paraId="09FA4403">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459" w:type="dxa"/>
            <w:tcBorders>
              <w:top w:val="single" w:color="auto" w:sz="4" w:space="0"/>
              <w:left w:val="single" w:color="auto" w:sz="4" w:space="0"/>
              <w:bottom w:val="single" w:color="auto" w:sz="4" w:space="0"/>
              <w:right w:val="single" w:color="auto" w:sz="4" w:space="0"/>
            </w:tcBorders>
            <w:noWrap w:val="0"/>
            <w:vAlign w:val="center"/>
          </w:tcPr>
          <w:p w14:paraId="3137140A">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名称</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307770CD">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报价</w:t>
            </w:r>
          </w:p>
        </w:tc>
      </w:tr>
      <w:tr w14:paraId="57D1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083" w:type="dxa"/>
            <w:tcBorders>
              <w:top w:val="single" w:color="auto" w:sz="4" w:space="0"/>
              <w:left w:val="single" w:color="auto" w:sz="4" w:space="0"/>
              <w:bottom w:val="single" w:color="auto" w:sz="4" w:space="0"/>
              <w:right w:val="single" w:color="auto" w:sz="4" w:space="0"/>
            </w:tcBorders>
            <w:noWrap w:val="0"/>
            <w:vAlign w:val="center"/>
          </w:tcPr>
          <w:p w14:paraId="38313BC4">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2459" w:type="dxa"/>
            <w:tcBorders>
              <w:top w:val="single" w:color="auto" w:sz="4" w:space="0"/>
              <w:left w:val="single" w:color="auto" w:sz="4" w:space="0"/>
              <w:bottom w:val="single" w:color="auto" w:sz="4" w:space="0"/>
              <w:right w:val="single" w:color="auto" w:sz="4" w:space="0"/>
            </w:tcBorders>
            <w:noWrap w:val="0"/>
            <w:vAlign w:val="center"/>
          </w:tcPr>
          <w:p w14:paraId="78146E80">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r>
              <w:rPr>
                <w:rStyle w:val="33"/>
                <w:rFonts w:hint="eastAsia" w:ascii="宋体" w:hAnsi="宋体" w:eastAsia="宋体" w:cs="宋体"/>
                <w:color w:val="000000"/>
                <w:sz w:val="24"/>
                <w:szCs w:val="24"/>
                <w:lang w:val="en-US" w:eastAsia="zh-CN" w:bidi="ar"/>
              </w:rPr>
              <w:t>计算机一体机</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4116010A">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p>
        </w:tc>
      </w:tr>
      <w:tr w14:paraId="740D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083" w:type="dxa"/>
            <w:tcBorders>
              <w:top w:val="single" w:color="auto" w:sz="4" w:space="0"/>
              <w:left w:val="single" w:color="auto" w:sz="4" w:space="0"/>
              <w:bottom w:val="single" w:color="auto" w:sz="4" w:space="0"/>
              <w:right w:val="single" w:color="auto" w:sz="4" w:space="0"/>
            </w:tcBorders>
            <w:noWrap w:val="0"/>
            <w:vAlign w:val="center"/>
          </w:tcPr>
          <w:p w14:paraId="6AA9F08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2459" w:type="dxa"/>
            <w:tcBorders>
              <w:top w:val="single" w:color="auto" w:sz="4" w:space="0"/>
              <w:left w:val="single" w:color="auto" w:sz="4" w:space="0"/>
              <w:bottom w:val="single" w:color="auto" w:sz="4" w:space="0"/>
              <w:right w:val="single" w:color="auto" w:sz="4" w:space="0"/>
            </w:tcBorders>
            <w:noWrap w:val="0"/>
            <w:vAlign w:val="center"/>
          </w:tcPr>
          <w:p w14:paraId="04A534F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eastAsia="宋体" w:cs="宋体"/>
                <w:kern w:val="2"/>
                <w:sz w:val="24"/>
                <w:szCs w:val="24"/>
                <w:lang w:val="en-US" w:eastAsia="zh-CN" w:bidi="ar-SA"/>
              </w:rPr>
            </w:pPr>
            <w:r>
              <w:rPr>
                <w:rStyle w:val="33"/>
                <w:rFonts w:hint="eastAsia" w:cs="宋体"/>
                <w:color w:val="000000"/>
                <w:sz w:val="24"/>
                <w:szCs w:val="24"/>
                <w:lang w:val="en-US" w:eastAsia="zh-CN" w:bidi="ar"/>
              </w:rPr>
              <w:t>标签打印机</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08E7095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p>
        </w:tc>
      </w:tr>
      <w:tr w14:paraId="0684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083" w:type="dxa"/>
            <w:tcBorders>
              <w:top w:val="single" w:color="auto" w:sz="4" w:space="0"/>
              <w:left w:val="single" w:color="auto" w:sz="4" w:space="0"/>
              <w:bottom w:val="single" w:color="auto" w:sz="4" w:space="0"/>
              <w:right w:val="single" w:color="auto" w:sz="4" w:space="0"/>
            </w:tcBorders>
            <w:noWrap w:val="0"/>
            <w:vAlign w:val="center"/>
          </w:tcPr>
          <w:p w14:paraId="2BD5DC78">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2459" w:type="dxa"/>
            <w:tcBorders>
              <w:top w:val="single" w:color="auto" w:sz="4" w:space="0"/>
              <w:left w:val="single" w:color="auto" w:sz="4" w:space="0"/>
              <w:bottom w:val="single" w:color="auto" w:sz="4" w:space="0"/>
              <w:right w:val="single" w:color="auto" w:sz="4" w:space="0"/>
            </w:tcBorders>
            <w:noWrap w:val="0"/>
            <w:vAlign w:val="center"/>
          </w:tcPr>
          <w:p w14:paraId="5332346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eastAsia="宋体" w:cs="宋体"/>
                <w:kern w:val="2"/>
                <w:sz w:val="24"/>
                <w:szCs w:val="24"/>
                <w:lang w:val="en-US" w:eastAsia="zh-CN" w:bidi="ar-SA"/>
              </w:rPr>
            </w:pPr>
            <w:r>
              <w:rPr>
                <w:rStyle w:val="33"/>
                <w:rFonts w:hint="eastAsia" w:cs="宋体"/>
                <w:color w:val="000000"/>
                <w:sz w:val="24"/>
                <w:szCs w:val="24"/>
                <w:lang w:val="en-US" w:eastAsia="zh-CN" w:bidi="ar"/>
              </w:rPr>
              <w:t>针式打印机</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5153D3C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p>
        </w:tc>
      </w:tr>
      <w:tr w14:paraId="7B4F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083" w:type="dxa"/>
            <w:tcBorders>
              <w:top w:val="single" w:color="auto" w:sz="4" w:space="0"/>
              <w:left w:val="single" w:color="auto" w:sz="4" w:space="0"/>
              <w:bottom w:val="single" w:color="auto" w:sz="4" w:space="0"/>
              <w:right w:val="single" w:color="auto" w:sz="4" w:space="0"/>
            </w:tcBorders>
            <w:noWrap w:val="0"/>
            <w:vAlign w:val="center"/>
          </w:tcPr>
          <w:p w14:paraId="04EC627A">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2459" w:type="dxa"/>
            <w:tcBorders>
              <w:top w:val="single" w:color="auto" w:sz="4" w:space="0"/>
              <w:left w:val="single" w:color="auto" w:sz="4" w:space="0"/>
              <w:bottom w:val="single" w:color="auto" w:sz="4" w:space="0"/>
              <w:right w:val="single" w:color="auto" w:sz="4" w:space="0"/>
            </w:tcBorders>
            <w:noWrap w:val="0"/>
            <w:vAlign w:val="center"/>
          </w:tcPr>
          <w:p w14:paraId="4169363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eastAsia="宋体" w:cs="宋体"/>
                <w:kern w:val="2"/>
                <w:sz w:val="24"/>
                <w:szCs w:val="24"/>
                <w:lang w:val="en-US" w:eastAsia="zh-CN" w:bidi="ar-SA"/>
              </w:rPr>
            </w:pPr>
            <w:r>
              <w:rPr>
                <w:rStyle w:val="33"/>
                <w:rFonts w:hint="eastAsia" w:cs="宋体"/>
                <w:color w:val="000000"/>
                <w:sz w:val="24"/>
                <w:szCs w:val="24"/>
                <w:lang w:val="en-US" w:eastAsia="zh-CN" w:bidi="ar"/>
              </w:rPr>
              <w:t>彩色喷墨打印机</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03F2BB0A">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p>
        </w:tc>
      </w:tr>
      <w:tr w14:paraId="5677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083" w:type="dxa"/>
            <w:tcBorders>
              <w:top w:val="single" w:color="auto" w:sz="4" w:space="0"/>
              <w:left w:val="single" w:color="auto" w:sz="4" w:space="0"/>
              <w:bottom w:val="single" w:color="auto" w:sz="4" w:space="0"/>
              <w:right w:val="single" w:color="auto" w:sz="4" w:space="0"/>
            </w:tcBorders>
            <w:noWrap w:val="0"/>
            <w:vAlign w:val="center"/>
          </w:tcPr>
          <w:p w14:paraId="4D5F9137">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2459" w:type="dxa"/>
            <w:tcBorders>
              <w:top w:val="single" w:color="auto" w:sz="4" w:space="0"/>
              <w:left w:val="single" w:color="auto" w:sz="4" w:space="0"/>
              <w:bottom w:val="single" w:color="auto" w:sz="4" w:space="0"/>
              <w:right w:val="single" w:color="auto" w:sz="4" w:space="0"/>
            </w:tcBorders>
            <w:noWrap w:val="0"/>
            <w:vAlign w:val="center"/>
          </w:tcPr>
          <w:p w14:paraId="03487B1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eastAsia="宋体" w:cs="宋体"/>
                <w:kern w:val="2"/>
                <w:sz w:val="24"/>
                <w:szCs w:val="24"/>
                <w:lang w:val="en-US" w:eastAsia="zh-CN" w:bidi="ar-SA"/>
              </w:rPr>
            </w:pPr>
            <w:r>
              <w:rPr>
                <w:rFonts w:hint="eastAsia" w:cs="宋体"/>
                <w:i w:val="0"/>
                <w:iCs w:val="0"/>
                <w:color w:val="000000"/>
                <w:sz w:val="24"/>
                <w:szCs w:val="24"/>
                <w:u w:val="none"/>
                <w:lang w:val="en-US" w:eastAsia="zh-CN"/>
              </w:rPr>
              <w:t>扫描枪</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4384B78C">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p>
        </w:tc>
      </w:tr>
      <w:tr w14:paraId="6818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083" w:type="dxa"/>
            <w:tcBorders>
              <w:top w:val="single" w:color="auto" w:sz="4" w:space="0"/>
              <w:left w:val="single" w:color="auto" w:sz="4" w:space="0"/>
              <w:bottom w:val="single" w:color="auto" w:sz="4" w:space="0"/>
              <w:right w:val="single" w:color="auto" w:sz="4" w:space="0"/>
            </w:tcBorders>
            <w:noWrap w:val="0"/>
            <w:vAlign w:val="center"/>
          </w:tcPr>
          <w:p w14:paraId="6792D31F">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2459" w:type="dxa"/>
            <w:tcBorders>
              <w:top w:val="single" w:color="auto" w:sz="4" w:space="0"/>
              <w:left w:val="single" w:color="auto" w:sz="4" w:space="0"/>
              <w:bottom w:val="single" w:color="auto" w:sz="4" w:space="0"/>
              <w:right w:val="single" w:color="auto" w:sz="4" w:space="0"/>
            </w:tcBorders>
            <w:noWrap w:val="0"/>
            <w:vAlign w:val="center"/>
          </w:tcPr>
          <w:p w14:paraId="6090740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eastAsia="宋体" w:cs="宋体"/>
                <w:kern w:val="2"/>
                <w:sz w:val="24"/>
                <w:szCs w:val="24"/>
                <w:lang w:val="en-US" w:eastAsia="zh-CN" w:bidi="ar-SA"/>
              </w:rPr>
            </w:pPr>
            <w:r>
              <w:rPr>
                <w:rFonts w:hint="eastAsia" w:cs="宋体"/>
                <w:i w:val="0"/>
                <w:iCs w:val="0"/>
                <w:color w:val="000000"/>
                <w:sz w:val="24"/>
                <w:szCs w:val="24"/>
                <w:u w:val="none"/>
                <w:lang w:val="en-US" w:eastAsia="zh-CN"/>
              </w:rPr>
              <w:t>串口服务器</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2C025340">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p>
        </w:tc>
      </w:tr>
      <w:tr w14:paraId="3D0A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083" w:type="dxa"/>
            <w:tcBorders>
              <w:top w:val="single" w:color="auto" w:sz="4" w:space="0"/>
              <w:left w:val="single" w:color="auto" w:sz="4" w:space="0"/>
              <w:bottom w:val="single" w:color="auto" w:sz="4" w:space="0"/>
              <w:right w:val="single" w:color="auto" w:sz="4" w:space="0"/>
            </w:tcBorders>
            <w:noWrap w:val="0"/>
            <w:vAlign w:val="center"/>
          </w:tcPr>
          <w:p w14:paraId="7014468F">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2459" w:type="dxa"/>
            <w:tcBorders>
              <w:top w:val="single" w:color="auto" w:sz="4" w:space="0"/>
              <w:left w:val="single" w:color="auto" w:sz="4" w:space="0"/>
              <w:bottom w:val="single" w:color="auto" w:sz="4" w:space="0"/>
              <w:right w:val="single" w:color="auto" w:sz="4" w:space="0"/>
            </w:tcBorders>
            <w:noWrap w:val="0"/>
            <w:vAlign w:val="center"/>
          </w:tcPr>
          <w:p w14:paraId="66F463B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5口交换机</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5BC6F64A">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p>
        </w:tc>
      </w:tr>
      <w:tr w14:paraId="2317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083" w:type="dxa"/>
            <w:tcBorders>
              <w:top w:val="single" w:color="auto" w:sz="4" w:space="0"/>
              <w:left w:val="single" w:color="auto" w:sz="4" w:space="0"/>
              <w:bottom w:val="single" w:color="auto" w:sz="4" w:space="0"/>
              <w:right w:val="single" w:color="auto" w:sz="4" w:space="0"/>
            </w:tcBorders>
            <w:noWrap w:val="0"/>
            <w:vAlign w:val="center"/>
          </w:tcPr>
          <w:p w14:paraId="694D0BB9">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459" w:type="dxa"/>
            <w:tcBorders>
              <w:top w:val="single" w:color="auto" w:sz="4" w:space="0"/>
              <w:left w:val="single" w:color="auto" w:sz="4" w:space="0"/>
              <w:bottom w:val="single" w:color="auto" w:sz="4" w:space="0"/>
              <w:right w:val="single" w:color="auto" w:sz="4" w:space="0"/>
            </w:tcBorders>
            <w:noWrap w:val="0"/>
            <w:vAlign w:val="center"/>
          </w:tcPr>
          <w:p w14:paraId="1726FCD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cs="宋体"/>
                <w:kern w:val="2"/>
                <w:sz w:val="24"/>
                <w:szCs w:val="24"/>
                <w:lang w:val="en-US" w:eastAsia="zh-CN" w:bidi="ar-SA"/>
              </w:rPr>
              <w:t>24口交换机</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247A6533">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p>
        </w:tc>
      </w:tr>
      <w:tr w14:paraId="7F2D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083" w:type="dxa"/>
            <w:tcBorders>
              <w:top w:val="single" w:color="auto" w:sz="4" w:space="0"/>
              <w:left w:val="single" w:color="auto" w:sz="4" w:space="0"/>
              <w:bottom w:val="single" w:color="auto" w:sz="4" w:space="0"/>
              <w:right w:val="single" w:color="auto" w:sz="4" w:space="0"/>
            </w:tcBorders>
            <w:noWrap w:val="0"/>
            <w:vAlign w:val="center"/>
          </w:tcPr>
          <w:p w14:paraId="21A5FB00">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459" w:type="dxa"/>
            <w:tcBorders>
              <w:top w:val="single" w:color="auto" w:sz="4" w:space="0"/>
              <w:left w:val="single" w:color="auto" w:sz="4" w:space="0"/>
              <w:bottom w:val="single" w:color="auto" w:sz="4" w:space="0"/>
              <w:right w:val="single" w:color="auto" w:sz="4" w:space="0"/>
            </w:tcBorders>
            <w:noWrap w:val="0"/>
            <w:vAlign w:val="center"/>
          </w:tcPr>
          <w:p w14:paraId="1FFB3E9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eastAsia="宋体" w:cs="宋体"/>
                <w:kern w:val="2"/>
                <w:sz w:val="24"/>
                <w:szCs w:val="24"/>
                <w:lang w:val="en-US" w:eastAsia="zh-CN" w:bidi="ar-SA"/>
              </w:rPr>
            </w:pPr>
            <w:r>
              <w:rPr>
                <w:rFonts w:hint="eastAsia" w:cs="宋体"/>
                <w:i w:val="0"/>
                <w:iCs w:val="0"/>
                <w:color w:val="000000"/>
                <w:sz w:val="24"/>
                <w:szCs w:val="24"/>
                <w:u w:val="none"/>
                <w:lang w:val="en-US" w:eastAsia="zh-CN"/>
              </w:rPr>
              <w:t>高温标签纸61*68</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3B33ADDD">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p>
        </w:tc>
      </w:tr>
      <w:tr w14:paraId="1479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083" w:type="dxa"/>
            <w:tcBorders>
              <w:top w:val="single" w:color="auto" w:sz="4" w:space="0"/>
              <w:left w:val="single" w:color="auto" w:sz="4" w:space="0"/>
              <w:bottom w:val="single" w:color="auto" w:sz="4" w:space="0"/>
              <w:right w:val="single" w:color="auto" w:sz="4" w:space="0"/>
            </w:tcBorders>
            <w:noWrap w:val="0"/>
            <w:vAlign w:val="center"/>
          </w:tcPr>
          <w:p w14:paraId="5A95B381">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459" w:type="dxa"/>
            <w:tcBorders>
              <w:top w:val="single" w:color="auto" w:sz="4" w:space="0"/>
              <w:left w:val="single" w:color="auto" w:sz="4" w:space="0"/>
              <w:bottom w:val="single" w:color="auto" w:sz="4" w:space="0"/>
              <w:right w:val="single" w:color="auto" w:sz="4" w:space="0"/>
            </w:tcBorders>
            <w:noWrap w:val="0"/>
            <w:vAlign w:val="center"/>
          </w:tcPr>
          <w:p w14:paraId="115D2D2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eastAsia="宋体" w:cs="宋体"/>
                <w:kern w:val="2"/>
                <w:sz w:val="24"/>
                <w:szCs w:val="24"/>
                <w:lang w:val="en-US" w:eastAsia="zh-CN" w:bidi="ar-SA"/>
              </w:rPr>
            </w:pPr>
            <w:r>
              <w:rPr>
                <w:rFonts w:hint="eastAsia" w:cs="宋体"/>
                <w:i w:val="0"/>
                <w:iCs w:val="0"/>
                <w:color w:val="000000"/>
                <w:sz w:val="24"/>
                <w:szCs w:val="24"/>
                <w:u w:val="none"/>
                <w:lang w:val="en-US" w:eastAsia="zh-CN"/>
              </w:rPr>
              <w:t>高温标签纸61*34</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758ADB3E">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p>
        </w:tc>
      </w:tr>
      <w:tr w14:paraId="6714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083" w:type="dxa"/>
            <w:tcBorders>
              <w:top w:val="single" w:color="auto" w:sz="4" w:space="0"/>
              <w:left w:val="single" w:color="auto" w:sz="4" w:space="0"/>
              <w:bottom w:val="single" w:color="auto" w:sz="4" w:space="0"/>
              <w:right w:val="single" w:color="auto" w:sz="4" w:space="0"/>
            </w:tcBorders>
            <w:noWrap w:val="0"/>
            <w:vAlign w:val="center"/>
          </w:tcPr>
          <w:p w14:paraId="44FDF140">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459" w:type="dxa"/>
            <w:tcBorders>
              <w:top w:val="single" w:color="auto" w:sz="4" w:space="0"/>
              <w:left w:val="single" w:color="auto" w:sz="4" w:space="0"/>
              <w:bottom w:val="single" w:color="auto" w:sz="4" w:space="0"/>
              <w:right w:val="single" w:color="auto" w:sz="4" w:space="0"/>
            </w:tcBorders>
            <w:noWrap w:val="0"/>
            <w:vAlign w:val="center"/>
          </w:tcPr>
          <w:p w14:paraId="043AAB9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eastAsia="宋体" w:cs="宋体"/>
                <w:kern w:val="2"/>
                <w:sz w:val="24"/>
                <w:szCs w:val="24"/>
                <w:lang w:val="en-US" w:eastAsia="zh-CN" w:bidi="ar-SA"/>
              </w:rPr>
            </w:pPr>
            <w:r>
              <w:rPr>
                <w:rFonts w:hint="eastAsia" w:cs="宋体"/>
                <w:i w:val="0"/>
                <w:iCs w:val="0"/>
                <w:color w:val="000000"/>
                <w:sz w:val="24"/>
                <w:szCs w:val="24"/>
                <w:u w:val="none"/>
                <w:lang w:val="en-US" w:eastAsia="zh-CN"/>
              </w:rPr>
              <w:t>条码打印机碳带</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21D50AFE">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p>
        </w:tc>
      </w:tr>
      <w:tr w14:paraId="2825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083" w:type="dxa"/>
            <w:tcBorders>
              <w:top w:val="single" w:color="auto" w:sz="4" w:space="0"/>
              <w:left w:val="single" w:color="auto" w:sz="4" w:space="0"/>
              <w:bottom w:val="single" w:color="auto" w:sz="4" w:space="0"/>
              <w:right w:val="single" w:color="auto" w:sz="4" w:space="0"/>
            </w:tcBorders>
            <w:noWrap w:val="0"/>
            <w:vAlign w:val="center"/>
          </w:tcPr>
          <w:p w14:paraId="3E406094">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459" w:type="dxa"/>
            <w:tcBorders>
              <w:top w:val="single" w:color="auto" w:sz="4" w:space="0"/>
              <w:left w:val="single" w:color="auto" w:sz="4" w:space="0"/>
              <w:bottom w:val="single" w:color="auto" w:sz="4" w:space="0"/>
              <w:right w:val="single" w:color="auto" w:sz="4" w:space="0"/>
            </w:tcBorders>
            <w:noWrap w:val="0"/>
            <w:vAlign w:val="center"/>
          </w:tcPr>
          <w:p w14:paraId="3F0124A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插排</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21959E10">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p>
        </w:tc>
      </w:tr>
      <w:tr w14:paraId="5D40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083" w:type="dxa"/>
            <w:tcBorders>
              <w:top w:val="single" w:color="auto" w:sz="4" w:space="0"/>
              <w:left w:val="single" w:color="auto" w:sz="4" w:space="0"/>
              <w:bottom w:val="single" w:color="auto" w:sz="4" w:space="0"/>
              <w:right w:val="single" w:color="auto" w:sz="4" w:space="0"/>
            </w:tcBorders>
            <w:noWrap w:val="0"/>
            <w:vAlign w:val="center"/>
          </w:tcPr>
          <w:p w14:paraId="5AEB04CE">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default" w:ascii="宋体" w:hAnsi="宋体" w:eastAsia="宋体" w:cs="宋体"/>
                <w:sz w:val="24"/>
                <w:szCs w:val="24"/>
                <w:lang w:val="en-US" w:eastAsia="zh-CN"/>
              </w:rPr>
            </w:pPr>
            <w:r>
              <w:rPr>
                <w:rFonts w:hint="eastAsia" w:cs="宋体"/>
                <w:sz w:val="24"/>
                <w:szCs w:val="24"/>
                <w:lang w:val="en-US" w:eastAsia="zh-CN"/>
              </w:rPr>
              <w:t>13</w:t>
            </w:r>
          </w:p>
        </w:tc>
        <w:tc>
          <w:tcPr>
            <w:tcW w:w="2459" w:type="dxa"/>
            <w:tcBorders>
              <w:top w:val="single" w:color="auto" w:sz="4" w:space="0"/>
              <w:left w:val="single" w:color="auto" w:sz="4" w:space="0"/>
              <w:bottom w:val="single" w:color="auto" w:sz="4" w:space="0"/>
              <w:right w:val="single" w:color="auto" w:sz="4" w:space="0"/>
            </w:tcBorders>
            <w:noWrap w:val="0"/>
            <w:vAlign w:val="center"/>
          </w:tcPr>
          <w:p w14:paraId="600A1C3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cs="宋体"/>
                <w:kern w:val="2"/>
                <w:sz w:val="24"/>
                <w:szCs w:val="24"/>
                <w:lang w:val="en-US" w:eastAsia="zh-CN" w:bidi="ar-SA"/>
              </w:rPr>
            </w:pPr>
            <w:r>
              <w:rPr>
                <w:rFonts w:hint="eastAsia" w:cs="宋体"/>
                <w:kern w:val="2"/>
                <w:sz w:val="24"/>
                <w:szCs w:val="24"/>
                <w:lang w:val="en-US" w:eastAsia="zh-CN" w:bidi="ar-SA"/>
              </w:rPr>
              <w:t>现场施工</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129B00A4">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sz w:val="24"/>
                <w:szCs w:val="24"/>
              </w:rPr>
            </w:pPr>
          </w:p>
        </w:tc>
      </w:tr>
    </w:tbl>
    <w:p w14:paraId="368896E3">
      <w:pPr>
        <w:rPr>
          <w:rFonts w:hint="eastAsia"/>
        </w:rPr>
      </w:pPr>
      <w:r>
        <w:rPr>
          <w:rFonts w:hint="eastAsia"/>
        </w:rPr>
        <w:br w:type="page"/>
      </w:r>
    </w:p>
    <w:p w14:paraId="696C0988">
      <w:pPr>
        <w:pStyle w:val="9"/>
        <w:rPr>
          <w:rFonts w:hint="eastAsia"/>
        </w:rPr>
      </w:pPr>
    </w:p>
    <w:p w14:paraId="155B77B9">
      <w:pPr>
        <w:pStyle w:val="2"/>
        <w:bidi w:val="0"/>
        <w:jc w:val="center"/>
        <w:rPr>
          <w:rFonts w:hint="eastAsia"/>
        </w:rPr>
      </w:pPr>
      <w:bookmarkStart w:id="275" w:name="_Toc510168274"/>
      <w:bookmarkStart w:id="276" w:name="_Toc16782"/>
      <w:bookmarkStart w:id="277" w:name="_Toc281662755"/>
      <w:bookmarkStart w:id="278" w:name="_Toc87235886"/>
      <w:bookmarkStart w:id="279" w:name="_Toc31588"/>
      <w:r>
        <w:rPr>
          <w:rFonts w:hint="eastAsia"/>
        </w:rPr>
        <w:t xml:space="preserve">第五章 </w:t>
      </w:r>
      <w:bookmarkEnd w:id="275"/>
      <w:bookmarkEnd w:id="276"/>
      <w:bookmarkEnd w:id="277"/>
      <w:bookmarkEnd w:id="278"/>
      <w:r>
        <w:rPr>
          <w:rFonts w:hint="eastAsia"/>
        </w:rPr>
        <w:t>采购人需求及技术要求</w:t>
      </w:r>
      <w:bookmarkEnd w:id="279"/>
    </w:p>
    <w:p w14:paraId="29BF483F">
      <w:pPr>
        <w:pStyle w:val="3"/>
        <w:numPr>
          <w:ilvl w:val="0"/>
          <w:numId w:val="0"/>
        </w:numPr>
        <w:bidi w:val="0"/>
        <w:ind w:leftChars="200"/>
        <w:rPr>
          <w:rFonts w:hint="eastAsia"/>
        </w:rPr>
      </w:pPr>
      <w:bookmarkStart w:id="280" w:name="_Toc10989"/>
      <w:r>
        <w:rPr>
          <w:rFonts w:hint="eastAsia"/>
          <w:lang w:eastAsia="zh-CN"/>
        </w:rPr>
        <w:t>一、</w:t>
      </w:r>
      <w:r>
        <w:rPr>
          <w:rFonts w:hint="eastAsia"/>
        </w:rPr>
        <w:t>招标范围</w:t>
      </w:r>
      <w:bookmarkEnd w:id="280"/>
    </w:p>
    <w:p w14:paraId="4C2E98C2">
      <w:pPr>
        <w:bidi w:val="0"/>
        <w:rPr>
          <w:rFonts w:hint="eastAsia"/>
          <w:sz w:val="24"/>
          <w:szCs w:val="22"/>
        </w:rPr>
      </w:pPr>
      <w:r>
        <w:rPr>
          <w:rFonts w:hint="eastAsia"/>
          <w:sz w:val="24"/>
          <w:szCs w:val="22"/>
        </w:rPr>
        <w:t>拟招标品类包括电脑</w:t>
      </w:r>
      <w:r>
        <w:rPr>
          <w:rFonts w:hint="eastAsia"/>
          <w:sz w:val="24"/>
          <w:szCs w:val="22"/>
          <w:lang w:val="en-US" w:eastAsia="zh-CN"/>
        </w:rPr>
        <w:t>一体机</w:t>
      </w:r>
      <w:r>
        <w:rPr>
          <w:rFonts w:hint="eastAsia"/>
          <w:sz w:val="24"/>
          <w:szCs w:val="22"/>
        </w:rPr>
        <w:t>、条码打印机、</w:t>
      </w:r>
      <w:r>
        <w:rPr>
          <w:rFonts w:hint="eastAsia"/>
          <w:sz w:val="24"/>
          <w:szCs w:val="22"/>
          <w:lang w:val="en-US" w:eastAsia="zh-CN"/>
        </w:rPr>
        <w:t>针式打印机、扫描枪、彩色打印机、串口服务器、交换机、高温条码纸</w:t>
      </w:r>
      <w:r>
        <w:rPr>
          <w:rFonts w:hint="eastAsia"/>
          <w:sz w:val="24"/>
          <w:szCs w:val="22"/>
        </w:rPr>
        <w:t>等；</w:t>
      </w:r>
    </w:p>
    <w:p w14:paraId="78328C2E">
      <w:pPr>
        <w:pStyle w:val="3"/>
        <w:numPr>
          <w:ilvl w:val="0"/>
          <w:numId w:val="0"/>
        </w:numPr>
        <w:bidi w:val="0"/>
        <w:ind w:leftChars="200"/>
        <w:rPr>
          <w:rFonts w:hint="eastAsia"/>
        </w:rPr>
      </w:pPr>
      <w:bookmarkStart w:id="281" w:name="_Toc3180"/>
      <w:r>
        <w:rPr>
          <w:rFonts w:hint="eastAsia"/>
          <w:lang w:eastAsia="zh-CN"/>
        </w:rPr>
        <w:t>二、</w:t>
      </w:r>
      <w:r>
        <w:rPr>
          <w:rFonts w:hint="eastAsia"/>
        </w:rPr>
        <w:t>技术要求</w:t>
      </w:r>
      <w:bookmarkEnd w:id="281"/>
    </w:p>
    <w:p w14:paraId="14EE11BD">
      <w:pPr>
        <w:pStyle w:val="3"/>
        <w:numPr>
          <w:ilvl w:val="0"/>
          <w:numId w:val="0"/>
        </w:numPr>
        <w:bidi w:val="0"/>
        <w:ind w:leftChars="200"/>
        <w:rPr>
          <w:rFonts w:hint="eastAsia"/>
        </w:rPr>
      </w:pPr>
      <w:bookmarkStart w:id="282" w:name="_Toc11280"/>
      <w:r>
        <w:rPr>
          <w:rFonts w:hint="eastAsia"/>
          <w:lang w:eastAsia="zh-CN"/>
        </w:rPr>
        <w:t>三、</w:t>
      </w:r>
      <w:r>
        <w:rPr>
          <w:rFonts w:hint="eastAsia"/>
        </w:rPr>
        <w:t>计算机、打印机类清单：</w:t>
      </w:r>
      <w:bookmarkEnd w:id="282"/>
    </w:p>
    <w:tbl>
      <w:tblPr>
        <w:tblStyle w:val="24"/>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51"/>
        <w:gridCol w:w="1200"/>
        <w:gridCol w:w="4897"/>
        <w:gridCol w:w="700"/>
        <w:gridCol w:w="725"/>
      </w:tblGrid>
      <w:tr w14:paraId="0073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14:paraId="1CA6E9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序号</w:t>
            </w:r>
          </w:p>
        </w:tc>
        <w:tc>
          <w:tcPr>
            <w:tcW w:w="1251" w:type="dxa"/>
            <w:noWrap w:val="0"/>
            <w:vAlign w:val="center"/>
          </w:tcPr>
          <w:p w14:paraId="298729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设备名称</w:t>
            </w:r>
          </w:p>
        </w:tc>
        <w:tc>
          <w:tcPr>
            <w:tcW w:w="1200" w:type="dxa"/>
            <w:noWrap w:val="0"/>
            <w:vAlign w:val="center"/>
          </w:tcPr>
          <w:p w14:paraId="3850DB6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应用科室</w:t>
            </w:r>
          </w:p>
        </w:tc>
        <w:tc>
          <w:tcPr>
            <w:tcW w:w="4897" w:type="dxa"/>
            <w:noWrap w:val="0"/>
            <w:vAlign w:val="center"/>
          </w:tcPr>
          <w:p w14:paraId="5F39DC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参数/规格</w:t>
            </w:r>
          </w:p>
        </w:tc>
        <w:tc>
          <w:tcPr>
            <w:tcW w:w="700" w:type="dxa"/>
            <w:noWrap w:val="0"/>
            <w:vAlign w:val="center"/>
          </w:tcPr>
          <w:p w14:paraId="0D41AB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单位</w:t>
            </w:r>
          </w:p>
        </w:tc>
        <w:tc>
          <w:tcPr>
            <w:tcW w:w="725" w:type="dxa"/>
            <w:noWrap w:val="0"/>
            <w:vAlign w:val="center"/>
          </w:tcPr>
          <w:p w14:paraId="03E636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数量</w:t>
            </w:r>
          </w:p>
        </w:tc>
      </w:tr>
      <w:tr w14:paraId="7CBC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14:paraId="1D3BB6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251" w:type="dxa"/>
            <w:noWrap w:val="0"/>
            <w:vAlign w:val="center"/>
          </w:tcPr>
          <w:p w14:paraId="581071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t>计算机一体机</w:t>
            </w:r>
          </w:p>
        </w:tc>
        <w:tc>
          <w:tcPr>
            <w:tcW w:w="1200" w:type="dxa"/>
            <w:noWrap w:val="0"/>
            <w:vAlign w:val="center"/>
          </w:tcPr>
          <w:p w14:paraId="6F2359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cs="宋体"/>
                <w:color w:val="000000" w:themeColor="text1"/>
                <w:sz w:val="24"/>
                <w:szCs w:val="24"/>
                <w:highlight w:val="none"/>
                <w:vertAlign w:val="baseline"/>
                <w:lang w:val="en-US" w:eastAsia="zh-CN"/>
                <w14:textFill>
                  <w14:solidFill>
                    <w14:schemeClr w14:val="tx1"/>
                  </w14:solidFill>
                </w14:textFill>
              </w:rPr>
              <w:t>供应室</w:t>
            </w:r>
          </w:p>
        </w:tc>
        <w:tc>
          <w:tcPr>
            <w:tcW w:w="4897" w:type="dxa"/>
            <w:noWrap w:val="0"/>
            <w:vAlign w:val="center"/>
          </w:tcPr>
          <w:p w14:paraId="3CE7F9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国内知名品牌</w:t>
            </w:r>
            <w:r>
              <w:rPr>
                <w:rFonts w:hint="eastAsia" w:ascii="宋体" w:hAnsi="宋体" w:eastAsia="宋体" w:cs="宋体"/>
                <w:color w:val="000000" w:themeColor="text1"/>
                <w:sz w:val="24"/>
                <w:szCs w:val="24"/>
                <w:highlight w:val="none"/>
                <w:lang w:val="en-US" w:eastAsia="zh-CN"/>
                <w14:textFill>
                  <w14:solidFill>
                    <w14:schemeClr w14:val="tx1"/>
                  </w14:solidFill>
                </w14:textFill>
              </w:rPr>
              <w:t>一体机</w:t>
            </w:r>
            <w:r>
              <w:rPr>
                <w:rFonts w:hint="eastAsia" w:ascii="宋体" w:hAnsi="宋体" w:eastAsia="宋体" w:cs="宋体"/>
                <w:color w:val="000000" w:themeColor="text1"/>
                <w:sz w:val="24"/>
                <w:szCs w:val="24"/>
                <w:highlight w:val="none"/>
                <w14:textFill>
                  <w14:solidFill>
                    <w14:schemeClr w14:val="tx1"/>
                  </w14:solidFill>
                </w14:textFill>
              </w:rPr>
              <w:t>电脑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屏幕尺寸：≧23.8英寸，CPU:≧12代i5，内存：≧8G，硬盘：≧512GB SSD硬盘，</w:t>
            </w:r>
            <w:r>
              <w:rPr>
                <w:rFonts w:hint="eastAsia" w:ascii="宋体" w:hAnsi="宋体" w:eastAsia="宋体" w:cs="宋体"/>
                <w:color w:val="000000" w:themeColor="text1"/>
                <w:sz w:val="24"/>
                <w:szCs w:val="24"/>
                <w:highlight w:val="none"/>
                <w14:textFill>
                  <w14:solidFill>
                    <w14:schemeClr w14:val="tx1"/>
                  </w14:solidFill>
                </w14:textFill>
              </w:rPr>
              <w:t>板载</w:t>
            </w:r>
            <w:r>
              <w:rPr>
                <w:rFonts w:hint="eastAsia" w:cs="宋体"/>
                <w:color w:val="000000" w:themeColor="text1"/>
                <w:sz w:val="24"/>
                <w:szCs w:val="24"/>
                <w:highlight w:val="none"/>
                <w:lang w:val="en-US" w:eastAsia="zh-CN"/>
                <w14:textFill>
                  <w14:solidFill>
                    <w14:schemeClr w14:val="tx1"/>
                  </w14:solidFill>
                </w14:textFill>
              </w:rPr>
              <w:t>串口</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三年上门</w:t>
            </w:r>
          </w:p>
        </w:tc>
        <w:tc>
          <w:tcPr>
            <w:tcW w:w="700" w:type="dxa"/>
            <w:noWrap w:val="0"/>
            <w:vAlign w:val="center"/>
          </w:tcPr>
          <w:p w14:paraId="49400A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t>台</w:t>
            </w:r>
          </w:p>
        </w:tc>
        <w:tc>
          <w:tcPr>
            <w:tcW w:w="725" w:type="dxa"/>
            <w:noWrap w:val="0"/>
            <w:vAlign w:val="center"/>
          </w:tcPr>
          <w:p w14:paraId="317C98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9</w:t>
            </w:r>
          </w:p>
        </w:tc>
      </w:tr>
      <w:tr w14:paraId="42E0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14:paraId="0ED01E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251" w:type="dxa"/>
            <w:noWrap w:val="0"/>
            <w:vAlign w:val="center"/>
          </w:tcPr>
          <w:p w14:paraId="23C5B7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t>标签打印机</w:t>
            </w:r>
          </w:p>
        </w:tc>
        <w:tc>
          <w:tcPr>
            <w:tcW w:w="1200" w:type="dxa"/>
            <w:noWrap w:val="0"/>
            <w:vAlign w:val="center"/>
          </w:tcPr>
          <w:p w14:paraId="1A1FA6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供应室</w:t>
            </w:r>
          </w:p>
        </w:tc>
        <w:tc>
          <w:tcPr>
            <w:tcW w:w="4897" w:type="dxa"/>
            <w:noWrap w:val="0"/>
            <w:vAlign w:val="center"/>
          </w:tcPr>
          <w:p w14:paraId="1426BA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‌打印速度‌：6英寸/152毫米/秒‌</w:t>
            </w:r>
          </w:p>
          <w:p w14:paraId="2ED9A4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打印分辨率‌：203 dpi‌</w:t>
            </w:r>
          </w:p>
          <w:p w14:paraId="29A4B5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最大打印宽度‌：4.09英寸/104毫米（203 dpi）‌</w:t>
            </w:r>
          </w:p>
          <w:p w14:paraId="45455D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最高打印速度‌：6英寸/152毫米/秒‌</w:t>
            </w:r>
          </w:p>
          <w:p w14:paraId="26E847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介质类型‌：碳带‌</w:t>
            </w:r>
          </w:p>
          <w:p w14:paraId="75ED5B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介质长度‌：74米‌</w:t>
            </w:r>
          </w:p>
          <w:p w14:paraId="5881D9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碳带长度‌：最大300米（984英尺）‌</w:t>
            </w:r>
          </w:p>
          <w:p w14:paraId="1BF608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介质宽度‌：1.33英寸/33.8毫米至4.3英寸/109.2毫米‌</w:t>
            </w:r>
          </w:p>
          <w:p w14:paraId="66C361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碳带比率‌：介质:碳带为1:4（300米）或1:1（74米）‌</w:t>
            </w:r>
          </w:p>
          <w:p w14:paraId="05D9BD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碳带外径‌：2.6英寸/66毫米（300米）；1.34英寸/34毫米（74米）‌</w:t>
            </w:r>
          </w:p>
          <w:p w14:paraId="0578A2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外形尺寸‌：267毫米(长)x 197毫米(宽)x 191毫米(高)‌</w:t>
            </w:r>
          </w:p>
          <w:p w14:paraId="6175D9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产品重量‌：约1.1千克‌</w:t>
            </w:r>
          </w:p>
          <w:p w14:paraId="6F1D1B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产品颜色‌：黑色‌</w:t>
            </w:r>
          </w:p>
          <w:p w14:paraId="073858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外形特点‌：拥有双壁结构和全金属打印头，为基本打印机稀有设计</w:t>
            </w:r>
          </w:p>
        </w:tc>
        <w:tc>
          <w:tcPr>
            <w:tcW w:w="700" w:type="dxa"/>
            <w:noWrap w:val="0"/>
            <w:vAlign w:val="center"/>
          </w:tcPr>
          <w:p w14:paraId="7791CB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pPr>
          </w:p>
          <w:p w14:paraId="16EE52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t>台</w:t>
            </w:r>
          </w:p>
        </w:tc>
        <w:tc>
          <w:tcPr>
            <w:tcW w:w="725" w:type="dxa"/>
            <w:noWrap w:val="0"/>
            <w:vAlign w:val="center"/>
          </w:tcPr>
          <w:p w14:paraId="70D78325">
            <w:pPr>
              <w:keepNext w:val="0"/>
              <w:keepLines w:val="0"/>
              <w:pageBreakBefore w:val="0"/>
              <w:widowControl/>
              <w:suppressLineNumbers w:val="0"/>
              <w:tabs>
                <w:tab w:val="center" w:pos="317"/>
                <w:tab w:val="left" w:pos="459"/>
              </w:tabs>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0C682D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5</w:t>
            </w:r>
          </w:p>
        </w:tc>
      </w:tr>
      <w:tr w14:paraId="6E0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14:paraId="1AE16DB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3</w:t>
            </w:r>
          </w:p>
        </w:tc>
        <w:tc>
          <w:tcPr>
            <w:tcW w:w="1251" w:type="dxa"/>
            <w:noWrap w:val="0"/>
            <w:vAlign w:val="center"/>
          </w:tcPr>
          <w:p w14:paraId="29B4C6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针式打印机</w:t>
            </w:r>
          </w:p>
        </w:tc>
        <w:tc>
          <w:tcPr>
            <w:tcW w:w="1200" w:type="dxa"/>
            <w:noWrap w:val="0"/>
            <w:vAlign w:val="center"/>
          </w:tcPr>
          <w:p w14:paraId="67CE73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供应室</w:t>
            </w:r>
          </w:p>
        </w:tc>
        <w:tc>
          <w:tcPr>
            <w:tcW w:w="4897" w:type="dxa"/>
            <w:noWrap w:val="0"/>
            <w:vAlign w:val="center"/>
          </w:tcPr>
          <w:p w14:paraId="55DDD7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打印方式‌：24针击打式点阵打印</w:t>
            </w:r>
          </w:p>
          <w:p w14:paraId="09D0A9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‌打印速度‌：中文（7.5cpi）195汉字/秒，英文10cpi下347字符/秒</w:t>
            </w:r>
          </w:p>
          <w:p w14:paraId="7B3729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‌打印分辨率‌：360dpi</w:t>
            </w:r>
          </w:p>
          <w:p w14:paraId="48CC9C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‌打印针数‌：24针</w:t>
            </w:r>
          </w:p>
          <w:p w14:paraId="79A6FB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‌接口类型‌：IEEE-1284双并向接口、USB2.0（全速）接口</w:t>
            </w:r>
          </w:p>
          <w:p w14:paraId="7DC699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‌字符集‌：14种国际字符集和一种法定字符集，包括USA、France、Germany、UK、Denmark I、Sweden、Italy、Spain I、Japan、Norway、Denmark II、Spain II、Latin America、Korea、Legal</w:t>
            </w:r>
          </w:p>
          <w:p w14:paraId="144CAD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‌字体‌：位图字体（宋体24×24、黑体24×24）、EPSON Draft、EPSON Roman、EPSON Sans Serif、EPSON OCR-B；可缩放字体4种；条码字体8种</w:t>
            </w:r>
          </w:p>
          <w:p w14:paraId="16D97A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‌色带寿命‌：400万字符（信函模式），800万字符（草稿模式）</w:t>
            </w:r>
          </w:p>
          <w:p w14:paraId="7E3720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‌纸张处理‌：单页纸宽度70-257mm，连续纸宽度76.2-254mm；纸张厚度0.052-0.53mm；进纸方式包括摩擦进纸和拖纸器进纸</w:t>
            </w:r>
          </w:p>
          <w:p w14:paraId="0C7744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‌功耗‌：约31W</w:t>
            </w:r>
          </w:p>
          <w:p w14:paraId="0AE760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‌噪音‌：约56dB</w:t>
            </w:r>
          </w:p>
          <w:p w14:paraId="4303C3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‌外观尺寸‌：386×306×185mm</w:t>
            </w:r>
          </w:p>
          <w:p w14:paraId="2FFA71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‌重量‌：约3.8kg</w:t>
            </w:r>
          </w:p>
          <w:p w14:paraId="44E554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‌其他性能‌：打印列数82列（在10cpi下）；打印控制代码ESC/P-K、IBM PPDS仿真、OKI5530SC仿真；平均无故障时间10000小时；打印总量2000万行‌</w:t>
            </w:r>
          </w:p>
        </w:tc>
        <w:tc>
          <w:tcPr>
            <w:tcW w:w="700" w:type="dxa"/>
            <w:noWrap w:val="0"/>
            <w:vAlign w:val="center"/>
          </w:tcPr>
          <w:p w14:paraId="29BF66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t>台</w:t>
            </w:r>
          </w:p>
        </w:tc>
        <w:tc>
          <w:tcPr>
            <w:tcW w:w="725" w:type="dxa"/>
            <w:noWrap w:val="0"/>
            <w:vAlign w:val="center"/>
          </w:tcPr>
          <w:p w14:paraId="4F6650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0B24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14:paraId="5658322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4</w:t>
            </w:r>
          </w:p>
        </w:tc>
        <w:tc>
          <w:tcPr>
            <w:tcW w:w="1251" w:type="dxa"/>
            <w:noWrap w:val="0"/>
            <w:vAlign w:val="center"/>
          </w:tcPr>
          <w:p w14:paraId="6920E4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彩色喷墨打印机</w:t>
            </w:r>
          </w:p>
        </w:tc>
        <w:tc>
          <w:tcPr>
            <w:tcW w:w="1200" w:type="dxa"/>
            <w:noWrap w:val="0"/>
            <w:vAlign w:val="center"/>
          </w:tcPr>
          <w:p w14:paraId="596977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cs="宋体"/>
                <w:color w:val="000000" w:themeColor="text1"/>
                <w:sz w:val="24"/>
                <w:szCs w:val="24"/>
                <w:highlight w:val="none"/>
                <w:vertAlign w:val="baseline"/>
                <w:lang w:val="en-US" w:eastAsia="zh-CN"/>
                <w14:textFill>
                  <w14:solidFill>
                    <w14:schemeClr w14:val="tx1"/>
                  </w14:solidFill>
                </w14:textFill>
              </w:rPr>
              <w:t>供应室</w:t>
            </w:r>
          </w:p>
        </w:tc>
        <w:tc>
          <w:tcPr>
            <w:tcW w:w="4897" w:type="dxa"/>
            <w:noWrap w:val="0"/>
            <w:vAlign w:val="center"/>
          </w:tcPr>
          <w:p w14:paraId="58228F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打印速度‌：黑色文本（A4）：约27ppm（经济模式），约7.5ipm；彩色文本（A4）：约15ppm（经济模式），约3.5ipm；照片（4"x6"）：27秒/页（有边距，经济模式），69秒/页（有边距，默认模式）‌</w:t>
            </w:r>
          </w:p>
          <w:p w14:paraId="49B91F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最高分辨率‌：5760×1440dpi‌</w:t>
            </w:r>
          </w:p>
          <w:p w14:paraId="7732A6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最大打印幅面‌：A4‌</w:t>
            </w:r>
          </w:p>
          <w:p w14:paraId="381114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双面打印‌：手动‌</w:t>
            </w:r>
          </w:p>
          <w:p w14:paraId="258E15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网络打印‌：不支持网络打印‌</w:t>
            </w:r>
          </w:p>
          <w:p w14:paraId="79FD29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接口类型‌：USB（兼容USB2.0）‌</w:t>
            </w:r>
          </w:p>
          <w:p w14:paraId="358507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墨盒类型‌：分体式墨盒‌</w:t>
            </w:r>
          </w:p>
          <w:p w14:paraId="298414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墨盒数量‌：四色墨盒‌</w:t>
            </w:r>
          </w:p>
          <w:p w14:paraId="75638C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墨水打印量‌：黑色约4000页，青/洋红/黄色约6500页‌</w:t>
            </w:r>
          </w:p>
          <w:p w14:paraId="18AD43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介质规格‌：支持A4、A5、A6、B5等多种尺寸的纸张‌</w:t>
            </w:r>
          </w:p>
          <w:p w14:paraId="5B009F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进纸容量‌：标配A4普通纸100页，高质量光泽照片纸20页‌</w:t>
            </w:r>
          </w:p>
          <w:p w14:paraId="44C56B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出纸容量‌：普通纸30页（文本/经济模式），高质量光泽照片纸20页</w:t>
            </w:r>
          </w:p>
        </w:tc>
        <w:tc>
          <w:tcPr>
            <w:tcW w:w="700" w:type="dxa"/>
            <w:noWrap w:val="0"/>
            <w:vAlign w:val="center"/>
          </w:tcPr>
          <w:p w14:paraId="0EB887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t>台</w:t>
            </w:r>
          </w:p>
        </w:tc>
        <w:tc>
          <w:tcPr>
            <w:tcW w:w="725" w:type="dxa"/>
            <w:noWrap w:val="0"/>
            <w:vAlign w:val="center"/>
          </w:tcPr>
          <w:p w14:paraId="120F5C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r>
      <w:tr w14:paraId="31CF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14:paraId="4417239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5</w:t>
            </w:r>
          </w:p>
        </w:tc>
        <w:tc>
          <w:tcPr>
            <w:tcW w:w="1251" w:type="dxa"/>
            <w:noWrap w:val="0"/>
            <w:vAlign w:val="center"/>
          </w:tcPr>
          <w:p w14:paraId="221A45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扫描枪</w:t>
            </w:r>
          </w:p>
        </w:tc>
        <w:tc>
          <w:tcPr>
            <w:tcW w:w="1200" w:type="dxa"/>
            <w:noWrap w:val="0"/>
            <w:vAlign w:val="center"/>
          </w:tcPr>
          <w:p w14:paraId="536D44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cs="宋体"/>
                <w:color w:val="000000" w:themeColor="text1"/>
                <w:sz w:val="24"/>
                <w:szCs w:val="24"/>
                <w:highlight w:val="none"/>
                <w:vertAlign w:val="baseline"/>
                <w:lang w:val="en-US" w:eastAsia="zh-CN"/>
                <w14:textFill>
                  <w14:solidFill>
                    <w14:schemeClr w14:val="tx1"/>
                  </w14:solidFill>
                </w14:textFill>
              </w:rPr>
              <w:t>供应室</w:t>
            </w:r>
          </w:p>
        </w:tc>
        <w:tc>
          <w:tcPr>
            <w:tcW w:w="4897" w:type="dxa"/>
            <w:noWrap w:val="0"/>
            <w:vAlign w:val="center"/>
          </w:tcPr>
          <w:p w14:paraId="49080A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‌‌分辨率‌：13英寸</w:t>
            </w:r>
          </w:p>
          <w:p w14:paraId="743783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‌扫描速率‌：1/120</w:t>
            </w:r>
          </w:p>
          <w:p w14:paraId="324E9A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‌接口类型‌：USB接口</w:t>
            </w:r>
          </w:p>
          <w:p w14:paraId="45ABAC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‌外形尺寸‌：75*19*25毫米</w:t>
            </w:r>
          </w:p>
          <w:p w14:paraId="5AFDFC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‌可扫条码‌：一维码和二维码‌</w:t>
            </w:r>
          </w:p>
          <w:p w14:paraId="4696E8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‌无线传输‌：支持蓝牙，无线传输距离为0-40米‌</w:t>
            </w:r>
          </w:p>
          <w:p w14:paraId="6F252F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‌电池容量‌：2000mAh以上，支持24小时不间断扫描‌</w:t>
            </w:r>
          </w:p>
          <w:p w14:paraId="6D8C2A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‌扫描范围‌：高达24英寸（61厘米），高分辨率成像扫描器和明亮的“对焦点”提供出色的扫描效果</w:t>
            </w:r>
          </w:p>
        </w:tc>
        <w:tc>
          <w:tcPr>
            <w:tcW w:w="700" w:type="dxa"/>
            <w:noWrap w:val="0"/>
            <w:vAlign w:val="center"/>
          </w:tcPr>
          <w:p w14:paraId="278585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t>台</w:t>
            </w:r>
          </w:p>
        </w:tc>
        <w:tc>
          <w:tcPr>
            <w:tcW w:w="725" w:type="dxa"/>
            <w:noWrap w:val="0"/>
            <w:vAlign w:val="center"/>
          </w:tcPr>
          <w:p w14:paraId="2CCCA9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8</w:t>
            </w:r>
          </w:p>
        </w:tc>
      </w:tr>
      <w:tr w14:paraId="76CF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14:paraId="6745E6C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6</w:t>
            </w:r>
          </w:p>
        </w:tc>
        <w:tc>
          <w:tcPr>
            <w:tcW w:w="1251" w:type="dxa"/>
            <w:noWrap w:val="0"/>
            <w:vAlign w:val="center"/>
          </w:tcPr>
          <w:p w14:paraId="7F8773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Times New Roman" w:asciiTheme="minorEastAsia" w:hAnsiTheme="minorEastAsia" w:eastAsiaTheme="minorEastAsia"/>
                <w:kern w:val="0"/>
                <w:sz w:val="24"/>
                <w:szCs w:val="24"/>
                <w:lang w:val="en-US" w:eastAsia="zh-CN"/>
              </w:rPr>
              <w:t>串口服务器</w:t>
            </w:r>
          </w:p>
        </w:tc>
        <w:tc>
          <w:tcPr>
            <w:tcW w:w="1200" w:type="dxa"/>
            <w:noWrap w:val="0"/>
            <w:vAlign w:val="center"/>
          </w:tcPr>
          <w:p w14:paraId="419956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供应室</w:t>
            </w:r>
          </w:p>
        </w:tc>
        <w:tc>
          <w:tcPr>
            <w:tcW w:w="4897" w:type="dxa"/>
            <w:noWrap w:val="0"/>
            <w:vAlign w:val="center"/>
          </w:tcPr>
          <w:p w14:paraId="453DFA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RS232+485转以太网双向透传功能，两路串口同时独立工作，互不影响；内置精心优化的TCP/IP协议栈；支持边缘计算、MQTT、SSL/TLS加密；支持Modbus网关功能；支持双重看门狗、多种保活机制；支持注册包+双向心跳包、虚拟串口、自动重连等功能</w:t>
            </w:r>
          </w:p>
        </w:tc>
        <w:tc>
          <w:tcPr>
            <w:tcW w:w="700" w:type="dxa"/>
            <w:noWrap w:val="0"/>
            <w:vAlign w:val="center"/>
          </w:tcPr>
          <w:p w14:paraId="21AEF7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t>台</w:t>
            </w:r>
          </w:p>
        </w:tc>
        <w:tc>
          <w:tcPr>
            <w:tcW w:w="725" w:type="dxa"/>
            <w:noWrap w:val="0"/>
            <w:vAlign w:val="center"/>
          </w:tcPr>
          <w:p w14:paraId="13DEE5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6</w:t>
            </w:r>
          </w:p>
        </w:tc>
      </w:tr>
      <w:tr w14:paraId="77E6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14:paraId="0986A65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7</w:t>
            </w:r>
          </w:p>
        </w:tc>
        <w:tc>
          <w:tcPr>
            <w:tcW w:w="1251" w:type="dxa"/>
            <w:noWrap w:val="0"/>
            <w:vAlign w:val="center"/>
          </w:tcPr>
          <w:p w14:paraId="3A2381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Style w:val="33"/>
                <w:rFonts w:hint="eastAsia" w:cs="宋体"/>
                <w:color w:val="000000" w:themeColor="text1"/>
                <w:sz w:val="24"/>
                <w:szCs w:val="24"/>
                <w:highlight w:val="none"/>
                <w:lang w:val="en-US" w:eastAsia="zh-CN" w:bidi="ar"/>
                <w14:textFill>
                  <w14:solidFill>
                    <w14:schemeClr w14:val="tx1"/>
                  </w14:solidFill>
                </w14:textFill>
              </w:rPr>
              <w:t>5口交换机</w:t>
            </w:r>
          </w:p>
        </w:tc>
        <w:tc>
          <w:tcPr>
            <w:tcW w:w="1200" w:type="dxa"/>
            <w:noWrap w:val="0"/>
            <w:vAlign w:val="center"/>
          </w:tcPr>
          <w:p w14:paraId="4D9EF4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cs="宋体"/>
                <w:color w:val="000000" w:themeColor="text1"/>
                <w:sz w:val="24"/>
                <w:szCs w:val="24"/>
                <w:highlight w:val="none"/>
                <w:lang w:val="en-US" w:eastAsia="zh-CN" w:bidi="ar"/>
                <w14:textFill>
                  <w14:solidFill>
                    <w14:schemeClr w14:val="tx1"/>
                  </w14:solidFill>
                </w14:textFill>
              </w:rPr>
              <w:t>供应室</w:t>
            </w:r>
          </w:p>
        </w:tc>
        <w:tc>
          <w:tcPr>
            <w:tcW w:w="4897" w:type="dxa"/>
            <w:noWrap w:val="0"/>
            <w:vAlign w:val="center"/>
          </w:tcPr>
          <w:p w14:paraId="4FCDFE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端口数量‌：5个10/100/1000Mbps RJ45端口‌</w:t>
            </w:r>
          </w:p>
          <w:p w14:paraId="1B62D1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传输速率‌：支持10/100/1000Mbps‌</w:t>
            </w:r>
          </w:p>
          <w:p w14:paraId="60C55E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交换方式‌：存储转发‌</w:t>
            </w:r>
          </w:p>
          <w:p w14:paraId="69446A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MAC地址表‌：支持2K的MAC地址表深度‌</w:t>
            </w:r>
          </w:p>
          <w:p w14:paraId="4CBA92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网络标准‌：符合IEEE 802.3、IEEE 802.3u、IEEE 802.3ab、IEEE 802.3x标准‌</w:t>
            </w:r>
          </w:p>
          <w:p w14:paraId="038843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指示灯‌：每个端口有一个Link/Ack指示灯，每个设备有一个Power指示灯‌‌</w:t>
            </w:r>
          </w:p>
          <w:p w14:paraId="606BAA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外形尺寸‌：156mm x 103mm x 31mm‌。</w:t>
            </w:r>
          </w:p>
        </w:tc>
        <w:tc>
          <w:tcPr>
            <w:tcW w:w="700" w:type="dxa"/>
            <w:noWrap w:val="0"/>
            <w:vAlign w:val="center"/>
          </w:tcPr>
          <w:p w14:paraId="1F6530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t>台</w:t>
            </w:r>
          </w:p>
        </w:tc>
        <w:tc>
          <w:tcPr>
            <w:tcW w:w="725" w:type="dxa"/>
            <w:noWrap w:val="0"/>
            <w:vAlign w:val="center"/>
          </w:tcPr>
          <w:p w14:paraId="69FECB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5</w:t>
            </w:r>
          </w:p>
        </w:tc>
      </w:tr>
      <w:tr w14:paraId="5E80E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14:paraId="05842B81">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8</w:t>
            </w:r>
          </w:p>
        </w:tc>
        <w:tc>
          <w:tcPr>
            <w:tcW w:w="1251" w:type="dxa"/>
            <w:noWrap w:val="0"/>
            <w:vAlign w:val="center"/>
          </w:tcPr>
          <w:p w14:paraId="664DD7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24口交换机</w:t>
            </w:r>
          </w:p>
        </w:tc>
        <w:tc>
          <w:tcPr>
            <w:tcW w:w="1200" w:type="dxa"/>
            <w:noWrap w:val="0"/>
            <w:vAlign w:val="center"/>
          </w:tcPr>
          <w:p w14:paraId="38F199F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供应室</w:t>
            </w:r>
          </w:p>
        </w:tc>
        <w:tc>
          <w:tcPr>
            <w:tcW w:w="4897" w:type="dxa"/>
            <w:noWrap w:val="0"/>
            <w:vAlign w:val="center"/>
          </w:tcPr>
          <w:p w14:paraId="7A5C9D4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‌‌端口数量‌：24个10/100/1000Mbps自适应以太网端口‌</w:t>
            </w:r>
          </w:p>
          <w:p w14:paraId="70ADA3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‌背板带宽‌：48Gbps‌</w:t>
            </w:r>
          </w:p>
          <w:p w14:paraId="307F80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‌包转发率‌：36Mpps‌</w:t>
            </w:r>
          </w:p>
          <w:p w14:paraId="1957A4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‌交换容量‌：52Gbps‌</w:t>
            </w:r>
          </w:p>
          <w:p w14:paraId="70E826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‌管理功能‌：支持WEB管理、SNMP、CLI等多种管理方式‌</w:t>
            </w:r>
          </w:p>
          <w:p w14:paraId="7EFE5C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‌VLAN功能‌：支持802.1Q VLAN，最大VLAN数量为4K‌</w:t>
            </w:r>
          </w:p>
          <w:p w14:paraId="28038CD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‌QoS功能‌：支持8个优先级队列，支持DSCP、802.1p优先级‌</w:t>
            </w:r>
          </w:p>
          <w:p w14:paraId="60BAAF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‌安全功能‌：支持端口安全、MAC地址绑定、风暴控制等‌</w:t>
            </w:r>
          </w:p>
          <w:p w14:paraId="34EEDB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‌电源‌：内置电源，支持冗余电源选配‌</w:t>
            </w:r>
          </w:p>
          <w:p w14:paraId="7EB07A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尺寸‌：440mm x 260mm x 44mm</w:t>
            </w:r>
          </w:p>
        </w:tc>
        <w:tc>
          <w:tcPr>
            <w:tcW w:w="700" w:type="dxa"/>
            <w:noWrap w:val="0"/>
            <w:vAlign w:val="center"/>
          </w:tcPr>
          <w:p w14:paraId="1DB236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t>台</w:t>
            </w:r>
          </w:p>
        </w:tc>
        <w:tc>
          <w:tcPr>
            <w:tcW w:w="725" w:type="dxa"/>
            <w:noWrap w:val="0"/>
            <w:vAlign w:val="center"/>
          </w:tcPr>
          <w:p w14:paraId="660C21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cs="宋体"/>
                <w:color w:val="FF0000"/>
                <w:sz w:val="24"/>
                <w:szCs w:val="24"/>
                <w:highlight w:val="none"/>
                <w:vertAlign w:val="baseline"/>
                <w:lang w:val="en-US" w:eastAsia="zh-CN"/>
              </w:rPr>
              <w:t>2</w:t>
            </w:r>
          </w:p>
        </w:tc>
      </w:tr>
      <w:tr w14:paraId="72E2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14:paraId="0DD35E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251" w:type="dxa"/>
            <w:noWrap w:val="0"/>
            <w:vAlign w:val="center"/>
          </w:tcPr>
          <w:p w14:paraId="5C43BE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高温标签纸</w:t>
            </w:r>
          </w:p>
        </w:tc>
        <w:tc>
          <w:tcPr>
            <w:tcW w:w="1200" w:type="dxa"/>
            <w:noWrap w:val="0"/>
            <w:vAlign w:val="center"/>
          </w:tcPr>
          <w:p w14:paraId="2D36F5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供应室</w:t>
            </w:r>
          </w:p>
        </w:tc>
        <w:tc>
          <w:tcPr>
            <w:tcW w:w="4897" w:type="dxa"/>
            <w:noWrap w:val="0"/>
            <w:vAlign w:val="center"/>
          </w:tcPr>
          <w:p w14:paraId="5136F83E">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FF0000"/>
                <w:sz w:val="24"/>
                <w:szCs w:val="24"/>
                <w:highlight w:val="none"/>
                <w:vertAlign w:val="baseline"/>
              </w:rPr>
            </w:pPr>
            <w:r>
              <w:rPr>
                <w:rFonts w:hint="eastAsia" w:cs="Times New Roman" w:asciiTheme="minorEastAsia" w:hAnsiTheme="minorEastAsia" w:eastAsiaTheme="minorEastAsia"/>
                <w:color w:val="FF0000"/>
                <w:kern w:val="0"/>
                <w:sz w:val="24"/>
                <w:szCs w:val="24"/>
                <w:lang w:val="en-US" w:eastAsia="zh-CN"/>
              </w:rPr>
              <w:t>61*68*600(手术包和外来器械包)</w:t>
            </w:r>
          </w:p>
        </w:tc>
        <w:tc>
          <w:tcPr>
            <w:tcW w:w="700" w:type="dxa"/>
            <w:noWrap w:val="0"/>
            <w:vAlign w:val="center"/>
          </w:tcPr>
          <w:p w14:paraId="6C28E4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FF0000"/>
                <w:sz w:val="24"/>
                <w:szCs w:val="24"/>
                <w:highlight w:val="none"/>
                <w:vertAlign w:val="baseline"/>
                <w:lang w:val="en-US"/>
              </w:rPr>
            </w:pPr>
            <w:r>
              <w:rPr>
                <w:rStyle w:val="33"/>
                <w:rFonts w:hint="eastAsia" w:cs="宋体"/>
                <w:color w:val="FF0000"/>
                <w:sz w:val="24"/>
                <w:szCs w:val="24"/>
                <w:highlight w:val="none"/>
                <w:lang w:val="en-US" w:eastAsia="zh-CN" w:bidi="ar"/>
              </w:rPr>
              <w:t>卷</w:t>
            </w:r>
          </w:p>
        </w:tc>
        <w:tc>
          <w:tcPr>
            <w:tcW w:w="725" w:type="dxa"/>
            <w:noWrap w:val="0"/>
            <w:vAlign w:val="center"/>
          </w:tcPr>
          <w:p w14:paraId="49F380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FF0000"/>
                <w:sz w:val="24"/>
                <w:szCs w:val="24"/>
                <w:highlight w:val="none"/>
                <w:vertAlign w:val="baseline"/>
                <w:lang w:val="en-US" w:eastAsia="zh-CN"/>
              </w:rPr>
            </w:pPr>
            <w:r>
              <w:rPr>
                <w:rFonts w:hint="eastAsia" w:cs="宋体"/>
                <w:color w:val="FF0000"/>
                <w:sz w:val="24"/>
                <w:szCs w:val="24"/>
                <w:highlight w:val="none"/>
                <w:vertAlign w:val="baseline"/>
                <w:lang w:val="en-US" w:eastAsia="zh-CN"/>
              </w:rPr>
              <w:t>150</w:t>
            </w:r>
          </w:p>
        </w:tc>
      </w:tr>
      <w:tr w14:paraId="5B7E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14:paraId="5ADC46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251" w:type="dxa"/>
            <w:noWrap w:val="0"/>
            <w:vAlign w:val="center"/>
          </w:tcPr>
          <w:p w14:paraId="0621BF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高温标签纸</w:t>
            </w:r>
          </w:p>
        </w:tc>
        <w:tc>
          <w:tcPr>
            <w:tcW w:w="1200" w:type="dxa"/>
            <w:noWrap w:val="0"/>
            <w:vAlign w:val="center"/>
          </w:tcPr>
          <w:p w14:paraId="65F41C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供应室</w:t>
            </w:r>
          </w:p>
        </w:tc>
        <w:tc>
          <w:tcPr>
            <w:tcW w:w="4897" w:type="dxa"/>
            <w:noWrap w:val="0"/>
            <w:vAlign w:val="center"/>
          </w:tcPr>
          <w:p w14:paraId="67BD5994">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FF0000"/>
                <w:sz w:val="24"/>
                <w:szCs w:val="24"/>
                <w:highlight w:val="none"/>
                <w:vertAlign w:val="baseline"/>
              </w:rPr>
            </w:pPr>
            <w:r>
              <w:rPr>
                <w:rFonts w:hint="eastAsia" w:cs="Times New Roman" w:asciiTheme="minorEastAsia" w:hAnsiTheme="minorEastAsia" w:eastAsiaTheme="minorEastAsia"/>
                <w:color w:val="FF0000"/>
                <w:kern w:val="0"/>
                <w:sz w:val="24"/>
                <w:szCs w:val="24"/>
                <w:lang w:val="en-US" w:eastAsia="zh-CN"/>
              </w:rPr>
              <w:t>61*34*600(临床包和敷料包)、(低温等离子)、(环氧乙烷)、(消毒物品)</w:t>
            </w:r>
          </w:p>
        </w:tc>
        <w:tc>
          <w:tcPr>
            <w:tcW w:w="700" w:type="dxa"/>
            <w:noWrap w:val="0"/>
            <w:vAlign w:val="center"/>
          </w:tcPr>
          <w:p w14:paraId="412576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FF0000"/>
                <w:sz w:val="24"/>
                <w:szCs w:val="24"/>
                <w:highlight w:val="none"/>
                <w:vertAlign w:val="baseline"/>
                <w:lang w:val="en-US"/>
              </w:rPr>
            </w:pPr>
            <w:r>
              <w:rPr>
                <w:rStyle w:val="33"/>
                <w:rFonts w:hint="eastAsia" w:cs="宋体"/>
                <w:color w:val="FF0000"/>
                <w:sz w:val="24"/>
                <w:szCs w:val="24"/>
                <w:highlight w:val="none"/>
                <w:lang w:val="en-US" w:eastAsia="zh-CN" w:bidi="ar"/>
              </w:rPr>
              <w:t>卷</w:t>
            </w:r>
          </w:p>
        </w:tc>
        <w:tc>
          <w:tcPr>
            <w:tcW w:w="725" w:type="dxa"/>
            <w:noWrap w:val="0"/>
            <w:vAlign w:val="center"/>
          </w:tcPr>
          <w:p w14:paraId="075AC3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cs="宋体"/>
                <w:color w:val="FF0000"/>
                <w:sz w:val="24"/>
                <w:szCs w:val="24"/>
                <w:highlight w:val="none"/>
                <w:vertAlign w:val="baseline"/>
                <w:lang w:val="en-US" w:eastAsia="zh-CN"/>
              </w:rPr>
              <w:t>200</w:t>
            </w:r>
          </w:p>
        </w:tc>
      </w:tr>
      <w:tr w14:paraId="2FB6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14:paraId="4DE9D0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251" w:type="dxa"/>
            <w:noWrap w:val="0"/>
            <w:vAlign w:val="center"/>
          </w:tcPr>
          <w:p w14:paraId="11344F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条码打印机碳带</w:t>
            </w:r>
          </w:p>
        </w:tc>
        <w:tc>
          <w:tcPr>
            <w:tcW w:w="1200" w:type="dxa"/>
            <w:noWrap w:val="0"/>
            <w:vAlign w:val="center"/>
          </w:tcPr>
          <w:p w14:paraId="36D5E2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cs="宋体"/>
                <w:color w:val="000000" w:themeColor="text1"/>
                <w:sz w:val="24"/>
                <w:szCs w:val="24"/>
                <w:highlight w:val="none"/>
                <w:vertAlign w:val="baseline"/>
                <w:lang w:val="en-US" w:eastAsia="zh-CN"/>
                <w14:textFill>
                  <w14:solidFill>
                    <w14:schemeClr w14:val="tx1"/>
                  </w14:solidFill>
                </w14:textFill>
              </w:rPr>
              <w:t>供应室</w:t>
            </w:r>
          </w:p>
        </w:tc>
        <w:tc>
          <w:tcPr>
            <w:tcW w:w="4897" w:type="dxa"/>
            <w:noWrap w:val="0"/>
            <w:vAlign w:val="center"/>
          </w:tcPr>
          <w:p w14:paraId="55891AA9">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宋体" w:hAnsi="宋体" w:eastAsia="宋体" w:cs="宋体"/>
                <w:color w:val="FF0000"/>
                <w:sz w:val="24"/>
                <w:szCs w:val="24"/>
                <w:highlight w:val="none"/>
                <w:vertAlign w:val="baseline"/>
                <w:lang w:val="en-US" w:eastAsia="zh-CN"/>
              </w:rPr>
            </w:pPr>
            <w:r>
              <w:rPr>
                <w:rFonts w:hint="eastAsia" w:cs="宋体"/>
                <w:color w:val="FF0000"/>
                <w:sz w:val="24"/>
                <w:szCs w:val="24"/>
                <w:highlight w:val="none"/>
                <w:vertAlign w:val="baseline"/>
                <w:lang w:val="en-US" w:eastAsia="zh-CN"/>
              </w:rPr>
              <w:t>90*300高温色带</w:t>
            </w:r>
            <w:r>
              <w:rPr>
                <w:rFonts w:hint="eastAsia" w:cs="Times New Roman" w:asciiTheme="minorEastAsia" w:hAnsiTheme="minorEastAsia" w:eastAsiaTheme="minorEastAsia"/>
                <w:color w:val="FF0000"/>
                <w:kern w:val="0"/>
                <w:sz w:val="24"/>
                <w:szCs w:val="24"/>
              </w:rPr>
              <w:t>适用于</w:t>
            </w:r>
            <w:r>
              <w:rPr>
                <w:rFonts w:hint="eastAsia" w:cs="Times New Roman" w:asciiTheme="minorEastAsia" w:hAnsiTheme="minorEastAsia" w:eastAsiaTheme="minorEastAsia"/>
                <w:color w:val="FF0000"/>
                <w:kern w:val="0"/>
                <w:sz w:val="24"/>
                <w:szCs w:val="24"/>
                <w:lang w:val="en-US" w:eastAsia="zh-CN"/>
              </w:rPr>
              <w:t>条码</w:t>
            </w:r>
            <w:r>
              <w:rPr>
                <w:rFonts w:hint="eastAsia" w:cs="Times New Roman" w:asciiTheme="minorEastAsia" w:hAnsiTheme="minorEastAsia" w:eastAsiaTheme="minorEastAsia"/>
                <w:color w:val="FF0000"/>
                <w:kern w:val="0"/>
                <w:sz w:val="24"/>
                <w:szCs w:val="24"/>
              </w:rPr>
              <w:t>打印机型号碳带</w:t>
            </w:r>
          </w:p>
        </w:tc>
        <w:tc>
          <w:tcPr>
            <w:tcW w:w="700" w:type="dxa"/>
            <w:noWrap w:val="0"/>
            <w:vAlign w:val="center"/>
          </w:tcPr>
          <w:p w14:paraId="78EB41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FF0000"/>
                <w:sz w:val="24"/>
                <w:szCs w:val="24"/>
                <w:highlight w:val="none"/>
                <w:vertAlign w:val="baseline"/>
                <w:lang w:val="en-US"/>
              </w:rPr>
            </w:pPr>
            <w:r>
              <w:rPr>
                <w:rStyle w:val="33"/>
                <w:rFonts w:hint="eastAsia" w:cs="宋体"/>
                <w:color w:val="FF0000"/>
                <w:sz w:val="24"/>
                <w:szCs w:val="24"/>
                <w:highlight w:val="none"/>
                <w:lang w:val="en-US" w:eastAsia="zh-CN" w:bidi="ar"/>
              </w:rPr>
              <w:t>卷</w:t>
            </w:r>
          </w:p>
        </w:tc>
        <w:tc>
          <w:tcPr>
            <w:tcW w:w="725" w:type="dxa"/>
            <w:noWrap w:val="0"/>
            <w:vAlign w:val="center"/>
          </w:tcPr>
          <w:p w14:paraId="757443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cs="宋体"/>
                <w:color w:val="FF0000"/>
                <w:sz w:val="24"/>
                <w:szCs w:val="24"/>
                <w:highlight w:val="none"/>
                <w:vertAlign w:val="baseline"/>
                <w:lang w:val="en-US" w:eastAsia="zh-CN"/>
              </w:rPr>
              <w:t>50</w:t>
            </w:r>
          </w:p>
        </w:tc>
      </w:tr>
      <w:tr w14:paraId="115E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14:paraId="66BE69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251" w:type="dxa"/>
            <w:noWrap w:val="0"/>
            <w:vAlign w:val="center"/>
          </w:tcPr>
          <w:p w14:paraId="32D576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宋体"/>
                <w:i w:val="0"/>
                <w:iCs w:val="0"/>
                <w:color w:val="000000" w:themeColor="text1"/>
                <w:sz w:val="24"/>
                <w:szCs w:val="24"/>
                <w:highlight w:val="none"/>
                <w:u w:val="none"/>
                <w:lang w:val="en-US" w:eastAsia="zh-CN"/>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插排</w:t>
            </w:r>
          </w:p>
        </w:tc>
        <w:tc>
          <w:tcPr>
            <w:tcW w:w="1200" w:type="dxa"/>
            <w:noWrap w:val="0"/>
            <w:vAlign w:val="center"/>
          </w:tcPr>
          <w:p w14:paraId="204485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宋体"/>
                <w:color w:val="000000" w:themeColor="text1"/>
                <w:sz w:val="24"/>
                <w:szCs w:val="24"/>
                <w:highlight w:val="none"/>
                <w:vertAlign w:val="baseline"/>
                <w:lang w:val="en-US" w:eastAsia="zh-CN"/>
                <w14:textFill>
                  <w14:solidFill>
                    <w14:schemeClr w14:val="tx1"/>
                  </w14:solidFill>
                </w14:textFill>
              </w:rPr>
            </w:pPr>
            <w:r>
              <w:rPr>
                <w:rFonts w:hint="eastAsia" w:cs="宋体"/>
                <w:color w:val="000000" w:themeColor="text1"/>
                <w:sz w:val="24"/>
                <w:szCs w:val="24"/>
                <w:highlight w:val="none"/>
                <w:vertAlign w:val="baseline"/>
                <w:lang w:val="en-US" w:eastAsia="zh-CN"/>
                <w14:textFill>
                  <w14:solidFill>
                    <w14:schemeClr w14:val="tx1"/>
                  </w14:solidFill>
                </w14:textFill>
              </w:rPr>
              <w:t>供应室</w:t>
            </w:r>
          </w:p>
        </w:tc>
        <w:tc>
          <w:tcPr>
            <w:tcW w:w="4897" w:type="dxa"/>
            <w:noWrap w:val="0"/>
            <w:vAlign w:val="center"/>
          </w:tcPr>
          <w:p w14:paraId="729D5CF9">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cs="宋体"/>
                <w:color w:val="000000" w:themeColor="text1"/>
                <w:sz w:val="24"/>
                <w:szCs w:val="24"/>
                <w:highlight w:val="none"/>
                <w:vertAlign w:val="baseline"/>
                <w:lang w:val="en-US" w:eastAsia="zh-CN"/>
                <w14:textFill>
                  <w14:solidFill>
                    <w14:schemeClr w14:val="tx1"/>
                  </w14:solidFill>
                </w14:textFill>
              </w:rPr>
            </w:pPr>
            <w:r>
              <w:rPr>
                <w:rFonts w:hint="eastAsia" w:cs="宋体"/>
                <w:color w:val="000000" w:themeColor="text1"/>
                <w:sz w:val="24"/>
                <w:szCs w:val="24"/>
                <w:highlight w:val="none"/>
                <w:vertAlign w:val="baseline"/>
                <w:lang w:val="en-US" w:eastAsia="zh-CN"/>
                <w14:textFill>
                  <w14:solidFill>
                    <w14:schemeClr w14:val="tx1"/>
                  </w14:solidFill>
                </w14:textFill>
              </w:rPr>
              <w:t>4孔三相插口/10A</w:t>
            </w:r>
          </w:p>
        </w:tc>
        <w:tc>
          <w:tcPr>
            <w:tcW w:w="700" w:type="dxa"/>
            <w:noWrap w:val="0"/>
            <w:vAlign w:val="center"/>
          </w:tcPr>
          <w:p w14:paraId="20FC8F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33"/>
                <w:rFonts w:hint="default" w:cs="宋体"/>
                <w:color w:val="000000" w:themeColor="text1"/>
                <w:sz w:val="24"/>
                <w:szCs w:val="24"/>
                <w:highlight w:val="none"/>
                <w:lang w:val="en-US" w:eastAsia="zh-CN" w:bidi="ar"/>
                <w14:textFill>
                  <w14:solidFill>
                    <w14:schemeClr w14:val="tx1"/>
                  </w14:solidFill>
                </w14:textFill>
              </w:rPr>
            </w:pPr>
            <w:r>
              <w:rPr>
                <w:rStyle w:val="33"/>
                <w:rFonts w:hint="eastAsia" w:cs="宋体"/>
                <w:color w:val="000000" w:themeColor="text1"/>
                <w:sz w:val="24"/>
                <w:szCs w:val="24"/>
                <w:highlight w:val="none"/>
                <w:lang w:val="en-US" w:eastAsia="zh-CN" w:bidi="ar"/>
                <w14:textFill>
                  <w14:solidFill>
                    <w14:schemeClr w14:val="tx1"/>
                  </w14:solidFill>
                </w14:textFill>
              </w:rPr>
              <w:t>个</w:t>
            </w:r>
          </w:p>
        </w:tc>
        <w:tc>
          <w:tcPr>
            <w:tcW w:w="725" w:type="dxa"/>
            <w:noWrap w:val="0"/>
            <w:vAlign w:val="center"/>
          </w:tcPr>
          <w:p w14:paraId="770CC7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8</w:t>
            </w:r>
          </w:p>
        </w:tc>
      </w:tr>
      <w:tr w14:paraId="1BDA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14:paraId="2055DA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251" w:type="dxa"/>
            <w:noWrap w:val="0"/>
            <w:vAlign w:val="center"/>
          </w:tcPr>
          <w:p w14:paraId="509188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宋体"/>
                <w:i w:val="0"/>
                <w:iCs w:val="0"/>
                <w:color w:val="000000" w:themeColor="text1"/>
                <w:sz w:val="24"/>
                <w:szCs w:val="24"/>
                <w:highlight w:val="none"/>
                <w:u w:val="none"/>
                <w:lang w:val="en-US" w:eastAsia="zh-CN"/>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现场施工</w:t>
            </w:r>
          </w:p>
        </w:tc>
        <w:tc>
          <w:tcPr>
            <w:tcW w:w="1200" w:type="dxa"/>
            <w:noWrap w:val="0"/>
            <w:vAlign w:val="center"/>
          </w:tcPr>
          <w:p w14:paraId="69BEF1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s="宋体"/>
                <w:color w:val="000000" w:themeColor="text1"/>
                <w:sz w:val="24"/>
                <w:szCs w:val="24"/>
                <w:highlight w:val="none"/>
                <w:vertAlign w:val="baseline"/>
                <w:lang w:val="en-US" w:eastAsia="zh-CN"/>
                <w14:textFill>
                  <w14:solidFill>
                    <w14:schemeClr w14:val="tx1"/>
                  </w14:solidFill>
                </w14:textFill>
              </w:rPr>
            </w:pPr>
            <w:r>
              <w:rPr>
                <w:rFonts w:hint="eastAsia" w:cs="宋体"/>
                <w:color w:val="000000" w:themeColor="text1"/>
                <w:sz w:val="24"/>
                <w:szCs w:val="24"/>
                <w:highlight w:val="none"/>
                <w:vertAlign w:val="baseline"/>
                <w:lang w:val="en-US" w:eastAsia="zh-CN"/>
                <w14:textFill>
                  <w14:solidFill>
                    <w14:schemeClr w14:val="tx1"/>
                  </w14:solidFill>
                </w14:textFill>
              </w:rPr>
              <w:t>供应室</w:t>
            </w:r>
          </w:p>
        </w:tc>
        <w:tc>
          <w:tcPr>
            <w:tcW w:w="4897" w:type="dxa"/>
            <w:noWrap w:val="0"/>
            <w:vAlign w:val="center"/>
          </w:tcPr>
          <w:p w14:paraId="317CC31A">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cs="Times New Roman" w:asciiTheme="minorEastAsia" w:hAnsiTheme="minorEastAsia" w:eastAsiaTheme="minorEastAsia"/>
                <w:kern w:val="0"/>
                <w:sz w:val="24"/>
                <w:szCs w:val="24"/>
                <w:lang w:val="en-US" w:eastAsia="zh-CN"/>
              </w:rPr>
            </w:pPr>
            <w:r>
              <w:rPr>
                <w:rFonts w:hint="eastAsia" w:cs="Times New Roman" w:asciiTheme="minorEastAsia" w:hAnsiTheme="minorEastAsia" w:eastAsiaTheme="minorEastAsia"/>
                <w:color w:val="FF0000"/>
                <w:kern w:val="0"/>
                <w:sz w:val="24"/>
                <w:szCs w:val="24"/>
                <w:lang w:val="en-US" w:eastAsia="zh-CN"/>
              </w:rPr>
              <w:t>为满足消毒供应追溯系统使用，投标人需提前了解消毒供应室、手术室施工环境，对网络接入，对接消毒供应追溯系统进行施工</w:t>
            </w:r>
          </w:p>
        </w:tc>
        <w:tc>
          <w:tcPr>
            <w:tcW w:w="700" w:type="dxa"/>
            <w:noWrap w:val="0"/>
            <w:vAlign w:val="center"/>
          </w:tcPr>
          <w:p w14:paraId="41457A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33"/>
                <w:rFonts w:hint="default" w:cs="宋体"/>
                <w:color w:val="000000" w:themeColor="text1"/>
                <w:sz w:val="24"/>
                <w:szCs w:val="24"/>
                <w:highlight w:val="none"/>
                <w:lang w:val="en-US" w:eastAsia="zh-CN" w:bidi="ar"/>
                <w14:textFill>
                  <w14:solidFill>
                    <w14:schemeClr w14:val="tx1"/>
                  </w14:solidFill>
                </w14:textFill>
              </w:rPr>
            </w:pPr>
            <w:r>
              <w:rPr>
                <w:rStyle w:val="33"/>
                <w:rFonts w:hint="eastAsia" w:cs="宋体"/>
                <w:color w:val="000000" w:themeColor="text1"/>
                <w:sz w:val="24"/>
                <w:szCs w:val="24"/>
                <w:highlight w:val="none"/>
                <w:lang w:val="en-US" w:eastAsia="zh-CN" w:bidi="ar"/>
                <w14:textFill>
                  <w14:solidFill>
                    <w14:schemeClr w14:val="tx1"/>
                  </w14:solidFill>
                </w14:textFill>
              </w:rPr>
              <w:t>次</w:t>
            </w:r>
          </w:p>
        </w:tc>
        <w:tc>
          <w:tcPr>
            <w:tcW w:w="725" w:type="dxa"/>
            <w:noWrap w:val="0"/>
            <w:vAlign w:val="center"/>
          </w:tcPr>
          <w:p w14:paraId="7AE079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1</w:t>
            </w:r>
          </w:p>
        </w:tc>
      </w:tr>
    </w:tbl>
    <w:p w14:paraId="3BFAD1A2">
      <w:pP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br w:type="page"/>
      </w:r>
    </w:p>
    <w:p w14:paraId="0C471964">
      <w:pPr>
        <w:pStyle w:val="3"/>
        <w:bidi w:val="0"/>
        <w:ind w:left="0" w:leftChars="0" w:firstLine="0" w:firstLineChars="0"/>
        <w:rPr>
          <w:rFonts w:hint="eastAsia"/>
        </w:rPr>
      </w:pPr>
      <w:bookmarkStart w:id="283" w:name="_Toc880"/>
      <w:r>
        <w:rPr>
          <w:rFonts w:hint="eastAsia"/>
          <w:lang w:eastAsia="zh-CN"/>
        </w:rPr>
        <w:t>四、</w:t>
      </w:r>
      <w:r>
        <w:rPr>
          <w:rFonts w:hint="eastAsia"/>
        </w:rPr>
        <w:t>售后服务要求</w:t>
      </w:r>
      <w:bookmarkEnd w:id="283"/>
    </w:p>
    <w:p w14:paraId="74ED1365">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sz w:val="24"/>
          <w:szCs w:val="22"/>
        </w:rPr>
      </w:pPr>
      <w:r>
        <w:rPr>
          <w:rFonts w:hint="eastAsia"/>
          <w:sz w:val="24"/>
          <w:szCs w:val="22"/>
          <w:lang w:val="en-US" w:eastAsia="zh-CN"/>
        </w:rPr>
        <w:t>1、</w:t>
      </w:r>
      <w:r>
        <w:rPr>
          <w:rFonts w:hint="eastAsia"/>
          <w:sz w:val="24"/>
          <w:szCs w:val="22"/>
        </w:rPr>
        <w:t>保修期</w:t>
      </w:r>
    </w:p>
    <w:p w14:paraId="79C01371">
      <w:pPr>
        <w:bidi w:val="0"/>
        <w:rPr>
          <w:rFonts w:hint="eastAsia"/>
          <w:sz w:val="24"/>
          <w:szCs w:val="22"/>
        </w:rPr>
      </w:pPr>
      <w:r>
        <w:rPr>
          <w:rFonts w:hint="eastAsia"/>
          <w:sz w:val="24"/>
          <w:szCs w:val="22"/>
        </w:rPr>
        <w:t>验收合格之日起提供</w:t>
      </w:r>
      <w:r>
        <w:rPr>
          <w:rFonts w:hint="eastAsia"/>
          <w:sz w:val="24"/>
          <w:szCs w:val="22"/>
          <w:lang w:val="en-US" w:eastAsia="zh-CN"/>
        </w:rPr>
        <w:t>3</w:t>
      </w:r>
      <w:r>
        <w:rPr>
          <w:rFonts w:hint="eastAsia"/>
          <w:sz w:val="24"/>
          <w:szCs w:val="22"/>
        </w:rPr>
        <w:t>年的质保期。保修期内零配件应免费更换。原厂负责设备维修。需返厂维修的部件乙方负责提供符合要求的替代产品，运费由乙方负担。</w:t>
      </w:r>
    </w:p>
    <w:p w14:paraId="6D162991">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sz w:val="24"/>
          <w:szCs w:val="22"/>
        </w:rPr>
      </w:pPr>
      <w:r>
        <w:rPr>
          <w:rFonts w:hint="eastAsia"/>
          <w:sz w:val="24"/>
          <w:szCs w:val="22"/>
          <w:lang w:val="en-US" w:eastAsia="zh-CN"/>
        </w:rPr>
        <w:t>2、</w:t>
      </w:r>
      <w:r>
        <w:rPr>
          <w:rFonts w:hint="eastAsia"/>
          <w:sz w:val="24"/>
          <w:szCs w:val="22"/>
        </w:rPr>
        <w:t>保修期延长</w:t>
      </w:r>
    </w:p>
    <w:p w14:paraId="57E9FC3F">
      <w:pPr>
        <w:bidi w:val="0"/>
        <w:rPr>
          <w:rFonts w:hint="eastAsia"/>
          <w:sz w:val="24"/>
          <w:szCs w:val="22"/>
        </w:rPr>
      </w:pPr>
      <w:r>
        <w:rPr>
          <w:rFonts w:hint="eastAsia"/>
          <w:sz w:val="24"/>
          <w:szCs w:val="22"/>
        </w:rPr>
        <w:t>对于保修期内因维修或更换造成设备停止使用，保修期时间须相应延长。更换或维修过的设备或部件的保修期应从更换或维修完成之日起相应延长。</w:t>
      </w:r>
    </w:p>
    <w:p w14:paraId="343E55E1">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sz w:val="24"/>
          <w:szCs w:val="22"/>
        </w:rPr>
      </w:pPr>
      <w:r>
        <w:rPr>
          <w:rFonts w:hint="eastAsia"/>
          <w:sz w:val="24"/>
          <w:szCs w:val="22"/>
          <w:lang w:val="en-US" w:eastAsia="zh-CN"/>
        </w:rPr>
        <w:t>3、响应时间</w:t>
      </w:r>
      <w:r>
        <w:rPr>
          <w:rFonts w:hint="eastAsia"/>
          <w:sz w:val="24"/>
          <w:szCs w:val="22"/>
        </w:rPr>
        <w:t>：</w:t>
      </w:r>
    </w:p>
    <w:p w14:paraId="47F1845F">
      <w:pPr>
        <w:bidi w:val="0"/>
        <w:rPr>
          <w:rFonts w:hint="eastAsia"/>
          <w:sz w:val="24"/>
          <w:szCs w:val="22"/>
        </w:rPr>
      </w:pPr>
      <w:r>
        <w:rPr>
          <w:rFonts w:hint="eastAsia"/>
          <w:sz w:val="24"/>
          <w:szCs w:val="22"/>
        </w:rPr>
        <w:t>供应商承诺接到采购人通知，保证 2小时内响应，4小时到达现场，24小时解决问题，无法在规定时间解决问题，提供必要的后备设备或解决方案的。</w:t>
      </w:r>
    </w:p>
    <w:p w14:paraId="5F851E5E">
      <w:pPr>
        <w:bidi w:val="0"/>
        <w:rPr>
          <w:rFonts w:hint="eastAsia"/>
        </w:rPr>
      </w:pPr>
      <w:r>
        <w:rPr>
          <w:rFonts w:hint="eastAsia"/>
          <w:lang w:val="en-US" w:eastAsia="zh-CN"/>
        </w:rPr>
        <w:t>4、</w:t>
      </w:r>
      <w:r>
        <w:rPr>
          <w:rFonts w:hint="eastAsia"/>
        </w:rPr>
        <w:t>其他</w:t>
      </w:r>
    </w:p>
    <w:p w14:paraId="0DD75204">
      <w:pPr>
        <w:bidi w:val="0"/>
        <w:rPr>
          <w:rFonts w:hint="eastAsia"/>
          <w:sz w:val="24"/>
          <w:szCs w:val="22"/>
        </w:rPr>
      </w:pPr>
      <w:r>
        <w:rPr>
          <w:rFonts w:hint="eastAsia"/>
          <w:sz w:val="24"/>
          <w:szCs w:val="22"/>
          <w:lang w:val="en-US" w:eastAsia="zh-CN"/>
        </w:rPr>
        <w:t>4.1</w:t>
      </w:r>
      <w:r>
        <w:rPr>
          <w:rFonts w:hint="eastAsia"/>
          <w:sz w:val="24"/>
          <w:szCs w:val="22"/>
        </w:rPr>
        <w:t>响应人必须在响应文件中对以上条款和服务承诺明确列出，承诺内容必须达到本篇及采购文件其他条款的要求。</w:t>
      </w:r>
    </w:p>
    <w:p w14:paraId="4089BD08">
      <w:pPr>
        <w:bidi w:val="0"/>
        <w:rPr>
          <w:rFonts w:hint="eastAsia"/>
          <w:sz w:val="24"/>
          <w:szCs w:val="22"/>
        </w:rPr>
      </w:pPr>
      <w:r>
        <w:rPr>
          <w:rFonts w:hint="eastAsia"/>
          <w:sz w:val="24"/>
          <w:szCs w:val="22"/>
          <w:lang w:val="en-US" w:eastAsia="zh-CN"/>
        </w:rPr>
        <w:t>4.2</w:t>
      </w:r>
      <w:r>
        <w:rPr>
          <w:rFonts w:hint="eastAsia"/>
          <w:sz w:val="24"/>
          <w:szCs w:val="22"/>
        </w:rPr>
        <w:t>其他未尽事宜由供需双方在采购合同中详细约定。</w:t>
      </w:r>
    </w:p>
    <w:p w14:paraId="50838E1D">
      <w:pPr>
        <w:pStyle w:val="3"/>
        <w:bidi w:val="0"/>
        <w:rPr>
          <w:rFonts w:hint="eastAsia"/>
        </w:rPr>
      </w:pPr>
      <w:bookmarkStart w:id="284" w:name="_Toc4696"/>
      <w:r>
        <w:rPr>
          <w:rFonts w:hint="eastAsia"/>
          <w:lang w:val="en-US" w:eastAsia="zh-CN"/>
        </w:rPr>
        <w:t>五、</w:t>
      </w:r>
      <w:r>
        <w:rPr>
          <w:rFonts w:hint="eastAsia"/>
        </w:rPr>
        <w:t>验收</w:t>
      </w:r>
      <w:bookmarkEnd w:id="284"/>
    </w:p>
    <w:p w14:paraId="0A1D6B46">
      <w:pPr>
        <w:bidi w:val="0"/>
        <w:rPr>
          <w:rFonts w:hint="eastAsia"/>
          <w:sz w:val="24"/>
          <w:szCs w:val="22"/>
        </w:rPr>
      </w:pPr>
      <w:r>
        <w:rPr>
          <w:rFonts w:hint="eastAsia"/>
          <w:sz w:val="24"/>
          <w:szCs w:val="22"/>
          <w:lang w:val="en-US" w:eastAsia="zh-CN"/>
        </w:rPr>
        <w:t>1、</w:t>
      </w:r>
      <w:r>
        <w:rPr>
          <w:rFonts w:hint="eastAsia"/>
          <w:sz w:val="24"/>
          <w:szCs w:val="22"/>
        </w:rPr>
        <w:t>按照合同规定的时间提交产品，并在医院现场以双方认可的方式进行</w:t>
      </w:r>
      <w:r>
        <w:rPr>
          <w:rFonts w:hint="eastAsia"/>
          <w:sz w:val="24"/>
          <w:szCs w:val="22"/>
          <w:lang w:val="en-US" w:eastAsia="zh-CN"/>
        </w:rPr>
        <w:t>验收</w:t>
      </w:r>
      <w:r>
        <w:rPr>
          <w:rFonts w:hint="eastAsia"/>
          <w:sz w:val="24"/>
          <w:szCs w:val="22"/>
        </w:rPr>
        <w:t>。</w:t>
      </w:r>
    </w:p>
    <w:p w14:paraId="12C69747">
      <w:pPr>
        <w:bidi w:val="0"/>
        <w:rPr>
          <w:rFonts w:hint="eastAsia"/>
          <w:sz w:val="24"/>
          <w:szCs w:val="22"/>
        </w:rPr>
      </w:pPr>
      <w:r>
        <w:rPr>
          <w:rFonts w:hint="eastAsia"/>
          <w:sz w:val="24"/>
          <w:szCs w:val="22"/>
          <w:lang w:val="en-US" w:eastAsia="zh-CN"/>
        </w:rPr>
        <w:t>2、</w:t>
      </w:r>
      <w:r>
        <w:rPr>
          <w:rFonts w:hint="eastAsia"/>
          <w:sz w:val="24"/>
          <w:szCs w:val="22"/>
        </w:rPr>
        <w:t>验收由医院相关人员按照合同中年服务内容条目进行考核。</w:t>
      </w:r>
    </w:p>
    <w:p w14:paraId="4A9927F6">
      <w:pPr>
        <w:pStyle w:val="3"/>
        <w:bidi w:val="0"/>
        <w:rPr>
          <w:rFonts w:hint="eastAsia"/>
        </w:rPr>
      </w:pPr>
      <w:bookmarkStart w:id="285" w:name="_Toc16056"/>
      <w:r>
        <w:rPr>
          <w:rFonts w:hint="eastAsia"/>
          <w:lang w:val="en-US" w:eastAsia="zh-CN"/>
        </w:rPr>
        <w:t>六．</w:t>
      </w:r>
      <w:r>
        <w:rPr>
          <w:rFonts w:hint="eastAsia"/>
        </w:rPr>
        <w:t>到货、安装</w:t>
      </w:r>
      <w:bookmarkEnd w:id="285"/>
    </w:p>
    <w:p w14:paraId="012DAE96">
      <w:pPr>
        <w:bidi w:val="0"/>
        <w:rPr>
          <w:rFonts w:hint="eastAsia"/>
          <w:sz w:val="24"/>
          <w:szCs w:val="22"/>
        </w:rPr>
      </w:pPr>
      <w:r>
        <w:rPr>
          <w:rFonts w:hint="eastAsia"/>
          <w:sz w:val="24"/>
          <w:szCs w:val="22"/>
        </w:rPr>
        <w:t>货物（含软件和硬件）运抵使用单位后，乙方在甲方要求的时间内派技术人员到达项目现场，并在甲方技术人员在场的情况下开箱清点货物，且负责设备的免费安装、调试。乙方提供安装调试所需的工具、备件、消耗品，并进行操作试验，直至设备/系统运行正常。</w:t>
      </w:r>
    </w:p>
    <w:p w14:paraId="208EB60D">
      <w:pPr>
        <w:pStyle w:val="3"/>
        <w:bidi w:val="0"/>
        <w:rPr>
          <w:rFonts w:hint="eastAsia"/>
          <w:lang w:eastAsia="zh-CN"/>
        </w:rPr>
      </w:pPr>
      <w:bookmarkStart w:id="286" w:name="_Toc9667"/>
      <w:r>
        <w:rPr>
          <w:rFonts w:hint="eastAsia"/>
          <w:lang w:eastAsia="zh-CN"/>
        </w:rPr>
        <w:t>七、</w:t>
      </w:r>
      <w:r>
        <w:rPr>
          <w:rFonts w:hint="eastAsia"/>
        </w:rPr>
        <w:t>付款方式</w:t>
      </w:r>
      <w:bookmarkEnd w:id="286"/>
    </w:p>
    <w:p w14:paraId="157BC377">
      <w:pPr>
        <w:bidi w:val="0"/>
        <w:rPr>
          <w:rFonts w:hint="eastAsia"/>
        </w:rPr>
      </w:pPr>
      <w:r>
        <w:rPr>
          <w:rFonts w:hint="eastAsia"/>
          <w:sz w:val="24"/>
          <w:szCs w:val="24"/>
          <w:lang w:eastAsia="zh-CN"/>
        </w:rPr>
        <w:t>甲方根据需要向乙方下达采购订单，乙方按要求时限供货，并按合同中产品单价计费。在甲方使用部门验收合格后，按月根据实际供货数量总金额向甲方申请付款</w:t>
      </w:r>
      <w:r>
        <w:rPr>
          <w:rFonts w:hint="eastAsia"/>
          <w:lang w:eastAsia="zh-CN"/>
        </w:rPr>
        <w:t>。</w:t>
      </w:r>
    </w:p>
    <w:p w14:paraId="205CAFFD">
      <w:r>
        <w:br w:type="page"/>
      </w:r>
    </w:p>
    <w:p w14:paraId="5A3D6AB1">
      <w:pPr>
        <w:pStyle w:val="2"/>
        <w:bidi w:val="0"/>
        <w:rPr>
          <w:rFonts w:hint="eastAsia"/>
        </w:rPr>
      </w:pPr>
      <w:bookmarkStart w:id="287" w:name="_Toc1489"/>
      <w:r>
        <w:rPr>
          <w:rFonts w:hint="eastAsia"/>
        </w:rPr>
        <w:t>第六章 竞争性磋商响应文件格式</w:t>
      </w:r>
      <w:bookmarkEnd w:id="287"/>
    </w:p>
    <w:p w14:paraId="60E2B375">
      <w:pPr>
        <w:spacing w:line="440" w:lineRule="exact"/>
        <w:rPr>
          <w:rFonts w:hint="eastAsia" w:ascii="宋体" w:hAnsi="宋体" w:eastAsia="宋体" w:cs="宋体"/>
        </w:rPr>
      </w:pPr>
      <w:bookmarkStart w:id="288" w:name="_Toc484088998"/>
      <w:bookmarkStart w:id="289" w:name="_Toc477856363"/>
      <w:bookmarkStart w:id="290" w:name="_Toc477856364"/>
      <w:bookmarkStart w:id="291" w:name="_Toc484088997"/>
      <w:r>
        <w:rPr>
          <w:rFonts w:hint="eastAsia" w:ascii="宋体" w:hAnsi="宋体" w:eastAsia="宋体" w:cs="宋体"/>
        </w:rPr>
        <w:t>封面格式：</w:t>
      </w:r>
    </w:p>
    <w:p w14:paraId="258BFD4A">
      <w:pPr>
        <w:spacing w:line="440" w:lineRule="exact"/>
        <w:jc w:val="right"/>
        <w:rPr>
          <w:rFonts w:hint="eastAsia" w:ascii="宋体" w:hAnsi="宋体" w:eastAsia="宋体" w:cs="宋体"/>
          <w:sz w:val="28"/>
          <w:szCs w:val="28"/>
        </w:rPr>
      </w:pPr>
      <w:r>
        <w:rPr>
          <w:rFonts w:hint="eastAsia" w:ascii="宋体" w:hAnsi="宋体" w:eastAsia="宋体" w:cs="宋体"/>
          <w:sz w:val="28"/>
          <w:szCs w:val="28"/>
        </w:rPr>
        <w:t>正本/副本</w:t>
      </w:r>
    </w:p>
    <w:p w14:paraId="4DCA2565">
      <w:pPr>
        <w:spacing w:line="440" w:lineRule="exact"/>
        <w:rPr>
          <w:rFonts w:hint="eastAsia" w:ascii="宋体" w:hAnsi="宋体" w:eastAsia="宋体" w:cs="宋体"/>
          <w:sz w:val="28"/>
          <w:szCs w:val="28"/>
        </w:rPr>
      </w:pPr>
    </w:p>
    <w:p w14:paraId="168D2791">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（项目名称）竞争性磋商</w:t>
      </w:r>
    </w:p>
    <w:p w14:paraId="6788147C">
      <w:pPr>
        <w:jc w:val="center"/>
        <w:rPr>
          <w:rFonts w:hint="eastAsia" w:ascii="宋体" w:hAnsi="宋体" w:eastAsia="宋体" w:cs="宋体"/>
          <w:sz w:val="72"/>
          <w:szCs w:val="72"/>
        </w:rPr>
      </w:pPr>
      <w:r>
        <w:rPr>
          <w:rFonts w:hint="eastAsia" w:ascii="宋体" w:hAnsi="宋体" w:eastAsia="宋体" w:cs="宋体"/>
          <w:sz w:val="72"/>
          <w:szCs w:val="72"/>
        </w:rPr>
        <w:t>响 应 文 件</w:t>
      </w:r>
    </w:p>
    <w:p w14:paraId="7CA834CA">
      <w:pPr>
        <w:rPr>
          <w:rFonts w:hint="eastAsia" w:ascii="宋体" w:hAnsi="宋体" w:eastAsia="宋体" w:cs="宋体"/>
          <w:sz w:val="28"/>
          <w:szCs w:val="28"/>
        </w:rPr>
      </w:pPr>
    </w:p>
    <w:p w14:paraId="130006DA">
      <w:pPr>
        <w:rPr>
          <w:rFonts w:hint="eastAsia" w:ascii="宋体" w:hAnsi="宋体" w:eastAsia="宋体" w:cs="宋体"/>
          <w:sz w:val="28"/>
          <w:szCs w:val="28"/>
        </w:rPr>
      </w:pPr>
    </w:p>
    <w:p w14:paraId="0F170E0A">
      <w:pPr>
        <w:rPr>
          <w:rFonts w:hint="eastAsia" w:ascii="宋体" w:hAnsi="宋体" w:eastAsia="宋体" w:cs="宋体"/>
          <w:sz w:val="28"/>
          <w:szCs w:val="28"/>
        </w:rPr>
      </w:pPr>
    </w:p>
    <w:p w14:paraId="56EA0F6F">
      <w:pPr>
        <w:rPr>
          <w:rFonts w:hint="eastAsia" w:ascii="宋体" w:hAnsi="宋体" w:eastAsia="宋体" w:cs="宋体"/>
          <w:sz w:val="28"/>
          <w:szCs w:val="28"/>
        </w:rPr>
      </w:pPr>
    </w:p>
    <w:p w14:paraId="4EDF2CB2">
      <w:pPr>
        <w:rPr>
          <w:rFonts w:hint="eastAsia" w:ascii="宋体" w:hAnsi="宋体" w:eastAsia="宋体" w:cs="宋体"/>
          <w:sz w:val="28"/>
          <w:szCs w:val="28"/>
        </w:rPr>
      </w:pPr>
    </w:p>
    <w:p w14:paraId="4C010CE9">
      <w:pPr>
        <w:rPr>
          <w:rFonts w:hint="eastAsia" w:ascii="宋体" w:hAnsi="宋体" w:eastAsia="宋体" w:cs="宋体"/>
          <w:sz w:val="28"/>
          <w:szCs w:val="28"/>
        </w:rPr>
      </w:pPr>
    </w:p>
    <w:p w14:paraId="33AE11D8">
      <w:pPr>
        <w:rPr>
          <w:rFonts w:hint="eastAsia" w:ascii="宋体" w:hAnsi="宋体" w:eastAsia="宋体" w:cs="宋体"/>
          <w:sz w:val="28"/>
          <w:szCs w:val="28"/>
        </w:rPr>
      </w:pPr>
    </w:p>
    <w:p w14:paraId="4636717F">
      <w:pPr>
        <w:rPr>
          <w:rFonts w:hint="eastAsia" w:ascii="宋体" w:hAnsi="宋体" w:eastAsia="宋体" w:cs="宋体"/>
          <w:sz w:val="28"/>
          <w:szCs w:val="28"/>
        </w:rPr>
      </w:pPr>
    </w:p>
    <w:p w14:paraId="05F93965">
      <w:pPr>
        <w:rPr>
          <w:rFonts w:hint="eastAsia" w:ascii="宋体" w:hAnsi="宋体" w:eastAsia="宋体" w:cs="宋体"/>
          <w:sz w:val="28"/>
          <w:szCs w:val="28"/>
        </w:rPr>
      </w:pPr>
    </w:p>
    <w:p w14:paraId="07F6DCF6">
      <w:pPr>
        <w:rPr>
          <w:rFonts w:hint="eastAsia" w:ascii="宋体" w:hAnsi="宋体" w:eastAsia="宋体" w:cs="宋体"/>
          <w:sz w:val="28"/>
          <w:szCs w:val="28"/>
        </w:rPr>
      </w:pPr>
    </w:p>
    <w:p w14:paraId="3F2D4835">
      <w:pPr>
        <w:rPr>
          <w:rFonts w:hint="eastAsia" w:ascii="宋体" w:hAnsi="宋体" w:eastAsia="宋体" w:cs="宋体"/>
          <w:sz w:val="28"/>
          <w:szCs w:val="28"/>
        </w:rPr>
      </w:pPr>
    </w:p>
    <w:p w14:paraId="273E5E38">
      <w:pPr>
        <w:rPr>
          <w:rFonts w:hint="eastAsia" w:ascii="宋体" w:hAnsi="宋体" w:eastAsia="宋体" w:cs="宋体"/>
          <w:sz w:val="28"/>
          <w:szCs w:val="28"/>
        </w:rPr>
      </w:pPr>
    </w:p>
    <w:p w14:paraId="3F412DD6">
      <w:pPr>
        <w:rPr>
          <w:rFonts w:hint="eastAsia" w:ascii="宋体" w:hAnsi="宋体" w:eastAsia="宋体" w:cs="宋体"/>
          <w:sz w:val="28"/>
          <w:szCs w:val="28"/>
        </w:rPr>
      </w:pPr>
    </w:p>
    <w:p w14:paraId="4D8A6545">
      <w:pPr>
        <w:spacing w:line="360" w:lineRule="auto"/>
        <w:jc w:val="center"/>
        <w:rPr>
          <w:rFonts w:hint="eastAsia" w:ascii="宋体" w:hAnsi="宋体" w:eastAsia="宋体" w:cs="宋体"/>
          <w:sz w:val="28"/>
          <w:szCs w:val="28"/>
          <w:u w:val="single"/>
        </w:rPr>
      </w:pPr>
      <w:r>
        <w:rPr>
          <w:rFonts w:hint="eastAsia" w:ascii="宋体" w:hAnsi="宋体" w:eastAsia="宋体" w:cs="宋体"/>
          <w:sz w:val="28"/>
          <w:szCs w:val="28"/>
        </w:rPr>
        <w:t>响应人：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14:paraId="60528643">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14:paraId="6DD81902">
      <w:pPr>
        <w:spacing w:line="360" w:lineRule="auto"/>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48B3A26C">
      <w:pPr>
        <w:rPr>
          <w:rFonts w:hint="eastAsia" w:ascii="宋体" w:hAnsi="宋体" w:eastAsia="宋体" w:cs="宋体"/>
          <w:sz w:val="28"/>
          <w:szCs w:val="28"/>
        </w:rPr>
      </w:pPr>
      <w:r>
        <w:rPr>
          <w:rFonts w:hint="eastAsia" w:ascii="宋体" w:hAnsi="宋体" w:eastAsia="宋体" w:cs="宋体"/>
          <w:sz w:val="28"/>
          <w:szCs w:val="28"/>
        </w:rPr>
        <w:br w:type="page"/>
      </w:r>
    </w:p>
    <w:bookmarkEnd w:id="288"/>
    <w:bookmarkEnd w:id="289"/>
    <w:bookmarkEnd w:id="290"/>
    <w:bookmarkEnd w:id="291"/>
    <w:p w14:paraId="0AB1582B">
      <w:pPr>
        <w:bidi w:val="0"/>
        <w:ind w:left="0" w:leftChars="0" w:firstLine="0" w:firstLineChars="0"/>
        <w:jc w:val="center"/>
        <w:rPr>
          <w:rFonts w:hint="eastAsia"/>
        </w:rPr>
      </w:pPr>
      <w:bookmarkStart w:id="292" w:name="_Toc495425110"/>
      <w:bookmarkStart w:id="293" w:name="_Toc495424904"/>
      <w:bookmarkStart w:id="294" w:name="_Toc484088996"/>
      <w:bookmarkStart w:id="295" w:name="_Toc3945"/>
      <w:bookmarkStart w:id="296" w:name="_Toc482731940"/>
      <w:bookmarkStart w:id="297" w:name="_Toc477856362"/>
      <w:bookmarkStart w:id="298" w:name="_Toc448942108"/>
      <w:bookmarkStart w:id="299" w:name="_Toc495424171"/>
      <w:r>
        <w:rPr>
          <w:rFonts w:hint="eastAsia"/>
        </w:rPr>
        <w:t>目  录</w:t>
      </w:r>
      <w:bookmarkEnd w:id="292"/>
      <w:bookmarkEnd w:id="293"/>
      <w:bookmarkEnd w:id="294"/>
      <w:bookmarkEnd w:id="295"/>
      <w:bookmarkEnd w:id="296"/>
      <w:bookmarkEnd w:id="297"/>
      <w:bookmarkEnd w:id="298"/>
      <w:bookmarkEnd w:id="299"/>
    </w:p>
    <w:p w14:paraId="1845FC2D">
      <w:pPr>
        <w:bidi w:val="0"/>
        <w:rPr>
          <w:rFonts w:hint="eastAsia"/>
          <w:sz w:val="24"/>
          <w:szCs w:val="22"/>
        </w:rPr>
      </w:pPr>
      <w:r>
        <w:rPr>
          <w:rFonts w:hint="eastAsia"/>
          <w:sz w:val="24"/>
          <w:szCs w:val="22"/>
        </w:rPr>
        <w:t>响应文件商务部分</w:t>
      </w:r>
    </w:p>
    <w:p w14:paraId="697D60BE">
      <w:pPr>
        <w:bidi w:val="0"/>
        <w:rPr>
          <w:rFonts w:hint="eastAsia"/>
          <w:sz w:val="24"/>
          <w:szCs w:val="22"/>
        </w:rPr>
      </w:pPr>
      <w:r>
        <w:rPr>
          <w:rFonts w:hint="eastAsia"/>
          <w:sz w:val="24"/>
          <w:szCs w:val="22"/>
        </w:rPr>
        <w:t>一、磋商函及磋商函附录</w:t>
      </w:r>
    </w:p>
    <w:p w14:paraId="36AA27D0">
      <w:pPr>
        <w:bidi w:val="0"/>
        <w:rPr>
          <w:rFonts w:hint="eastAsia"/>
          <w:sz w:val="24"/>
          <w:szCs w:val="22"/>
        </w:rPr>
      </w:pPr>
      <w:r>
        <w:rPr>
          <w:rFonts w:hint="eastAsia"/>
          <w:sz w:val="24"/>
          <w:szCs w:val="22"/>
        </w:rPr>
        <w:t>二.货物分项报价表</w:t>
      </w:r>
    </w:p>
    <w:p w14:paraId="770CA1E1">
      <w:pPr>
        <w:bidi w:val="0"/>
        <w:rPr>
          <w:rFonts w:hint="eastAsia"/>
          <w:sz w:val="24"/>
          <w:szCs w:val="22"/>
        </w:rPr>
      </w:pPr>
      <w:r>
        <w:rPr>
          <w:rFonts w:hint="eastAsia"/>
          <w:sz w:val="24"/>
          <w:szCs w:val="22"/>
        </w:rPr>
        <w:t>三、响应人承诺书</w:t>
      </w:r>
    </w:p>
    <w:p w14:paraId="149CFD2F">
      <w:pPr>
        <w:bidi w:val="0"/>
        <w:rPr>
          <w:rFonts w:hint="eastAsia"/>
          <w:sz w:val="24"/>
          <w:szCs w:val="22"/>
        </w:rPr>
      </w:pPr>
      <w:r>
        <w:rPr>
          <w:rFonts w:hint="eastAsia"/>
          <w:sz w:val="24"/>
          <w:szCs w:val="22"/>
        </w:rPr>
        <w:t>四、法定代表人身份证明</w:t>
      </w:r>
    </w:p>
    <w:p w14:paraId="30F93A1C">
      <w:pPr>
        <w:bidi w:val="0"/>
        <w:rPr>
          <w:rFonts w:hint="eastAsia"/>
          <w:sz w:val="24"/>
          <w:szCs w:val="22"/>
        </w:rPr>
      </w:pPr>
      <w:r>
        <w:rPr>
          <w:rFonts w:hint="eastAsia"/>
          <w:sz w:val="24"/>
          <w:szCs w:val="22"/>
        </w:rPr>
        <w:t>五、授权委托书</w:t>
      </w:r>
    </w:p>
    <w:p w14:paraId="4188C096">
      <w:pPr>
        <w:bidi w:val="0"/>
        <w:rPr>
          <w:rFonts w:hint="eastAsia"/>
          <w:sz w:val="24"/>
          <w:szCs w:val="22"/>
        </w:rPr>
      </w:pPr>
      <w:r>
        <w:rPr>
          <w:rFonts w:hint="eastAsia"/>
          <w:sz w:val="24"/>
          <w:szCs w:val="22"/>
        </w:rPr>
        <w:t>六、服务方案</w:t>
      </w:r>
    </w:p>
    <w:p w14:paraId="762D732C">
      <w:pPr>
        <w:bidi w:val="0"/>
        <w:rPr>
          <w:rFonts w:hint="eastAsia"/>
          <w:sz w:val="24"/>
          <w:szCs w:val="22"/>
        </w:rPr>
      </w:pPr>
      <w:r>
        <w:rPr>
          <w:rFonts w:hint="eastAsia"/>
          <w:sz w:val="24"/>
          <w:szCs w:val="22"/>
        </w:rPr>
        <w:t>七、资格审查资料</w:t>
      </w:r>
    </w:p>
    <w:p w14:paraId="037050EA">
      <w:pPr>
        <w:bidi w:val="0"/>
        <w:rPr>
          <w:rFonts w:hint="eastAsia"/>
          <w:sz w:val="24"/>
          <w:szCs w:val="22"/>
        </w:rPr>
      </w:pPr>
      <w:bookmarkStart w:id="300" w:name="_Toc85336"/>
      <w:bookmarkStart w:id="301" w:name="_Toc533344007"/>
      <w:r>
        <w:rPr>
          <w:rFonts w:hint="eastAsia"/>
          <w:sz w:val="24"/>
          <w:szCs w:val="22"/>
        </w:rPr>
        <w:t>八、</w:t>
      </w:r>
      <w:bookmarkEnd w:id="300"/>
      <w:bookmarkEnd w:id="301"/>
      <w:r>
        <w:rPr>
          <w:rFonts w:hint="eastAsia"/>
          <w:sz w:val="24"/>
          <w:szCs w:val="22"/>
        </w:rPr>
        <w:t>反商业贿赂承诺书</w:t>
      </w:r>
    </w:p>
    <w:p w14:paraId="12FCF577">
      <w:pPr>
        <w:bidi w:val="0"/>
        <w:rPr>
          <w:rFonts w:hint="eastAsia"/>
          <w:sz w:val="24"/>
          <w:szCs w:val="22"/>
        </w:rPr>
      </w:pPr>
      <w:r>
        <w:rPr>
          <w:rFonts w:hint="eastAsia"/>
          <w:sz w:val="24"/>
          <w:szCs w:val="22"/>
          <w:lang w:val="en-US" w:eastAsia="zh-CN"/>
        </w:rPr>
        <w:t>九</w:t>
      </w:r>
      <w:r>
        <w:rPr>
          <w:rFonts w:hint="eastAsia"/>
          <w:sz w:val="24"/>
          <w:szCs w:val="22"/>
        </w:rPr>
        <w:t>、拟投入的人员汇总表</w:t>
      </w:r>
    </w:p>
    <w:p w14:paraId="2A04AD11">
      <w:pPr>
        <w:bidi w:val="0"/>
        <w:rPr>
          <w:rFonts w:hint="eastAsia"/>
          <w:sz w:val="24"/>
          <w:szCs w:val="22"/>
        </w:rPr>
      </w:pPr>
      <w:r>
        <w:rPr>
          <w:rFonts w:hint="eastAsia"/>
          <w:sz w:val="24"/>
          <w:szCs w:val="22"/>
        </w:rPr>
        <w:t>十、近年类似项目业绩</w:t>
      </w:r>
    </w:p>
    <w:p w14:paraId="077BCFA9">
      <w:pPr>
        <w:bidi w:val="0"/>
        <w:rPr>
          <w:rFonts w:hint="eastAsia"/>
          <w:sz w:val="24"/>
          <w:szCs w:val="22"/>
        </w:rPr>
      </w:pPr>
      <w:r>
        <w:rPr>
          <w:rFonts w:hint="eastAsia"/>
          <w:sz w:val="24"/>
          <w:szCs w:val="22"/>
        </w:rPr>
        <w:t>十</w:t>
      </w:r>
      <w:r>
        <w:rPr>
          <w:rFonts w:hint="eastAsia"/>
          <w:sz w:val="24"/>
          <w:szCs w:val="22"/>
          <w:lang w:val="en-US" w:eastAsia="zh-CN"/>
        </w:rPr>
        <w:t>一</w:t>
      </w:r>
      <w:r>
        <w:rPr>
          <w:rFonts w:hint="eastAsia"/>
          <w:sz w:val="24"/>
          <w:szCs w:val="22"/>
        </w:rPr>
        <w:t>、其他材料</w:t>
      </w:r>
    </w:p>
    <w:p w14:paraId="367E74DF">
      <w:pPr>
        <w:bidi w:val="0"/>
        <w:rPr>
          <w:rFonts w:hint="eastAsia"/>
          <w:sz w:val="24"/>
          <w:szCs w:val="22"/>
        </w:rPr>
      </w:pPr>
      <w:r>
        <w:rPr>
          <w:rFonts w:hint="eastAsia"/>
          <w:sz w:val="24"/>
          <w:szCs w:val="22"/>
        </w:rPr>
        <w:t>响应文件技术部分</w:t>
      </w:r>
    </w:p>
    <w:p w14:paraId="65955BC5">
      <w:pPr>
        <w:bidi w:val="0"/>
        <w:rPr>
          <w:rFonts w:hint="eastAsia"/>
          <w:sz w:val="24"/>
          <w:szCs w:val="22"/>
        </w:rPr>
      </w:pPr>
      <w:r>
        <w:rPr>
          <w:rFonts w:hint="eastAsia"/>
          <w:sz w:val="24"/>
          <w:szCs w:val="22"/>
          <w:lang w:eastAsia="zh-CN"/>
        </w:rPr>
        <w:t>一、</w:t>
      </w:r>
      <w:r>
        <w:rPr>
          <w:rFonts w:hint="eastAsia"/>
          <w:sz w:val="24"/>
          <w:szCs w:val="22"/>
        </w:rPr>
        <w:t>响应偏离表</w:t>
      </w:r>
    </w:p>
    <w:p w14:paraId="705F23B2">
      <w:pPr>
        <w:bidi w:val="0"/>
        <w:rPr>
          <w:rFonts w:hint="eastAsia"/>
          <w:sz w:val="24"/>
          <w:szCs w:val="22"/>
        </w:rPr>
      </w:pPr>
      <w:r>
        <w:rPr>
          <w:rFonts w:hint="eastAsia"/>
          <w:sz w:val="24"/>
          <w:szCs w:val="22"/>
          <w:lang w:eastAsia="zh-CN"/>
        </w:rPr>
        <w:t>二、</w:t>
      </w:r>
      <w:r>
        <w:rPr>
          <w:rFonts w:hint="eastAsia"/>
          <w:sz w:val="24"/>
          <w:szCs w:val="22"/>
        </w:rPr>
        <w:t>专家评分导读表</w:t>
      </w:r>
    </w:p>
    <w:p w14:paraId="54D76E01">
      <w:pPr>
        <w:bidi w:val="0"/>
        <w:rPr>
          <w:rFonts w:hint="eastAsia"/>
          <w:sz w:val="24"/>
          <w:szCs w:val="22"/>
        </w:rPr>
      </w:pPr>
      <w:r>
        <w:rPr>
          <w:rFonts w:hint="eastAsia"/>
          <w:sz w:val="24"/>
          <w:szCs w:val="22"/>
          <w:lang w:val="en-US" w:eastAsia="zh-CN"/>
        </w:rPr>
        <w:t>三</w:t>
      </w:r>
      <w:r>
        <w:rPr>
          <w:rFonts w:hint="eastAsia"/>
          <w:sz w:val="24"/>
          <w:szCs w:val="22"/>
        </w:rPr>
        <w:t>、其他材料</w:t>
      </w:r>
    </w:p>
    <w:p w14:paraId="53EB793B">
      <w:r>
        <w:br w:type="page"/>
      </w:r>
    </w:p>
    <w:p w14:paraId="6D129609">
      <w:pPr>
        <w:rPr>
          <w:rFonts w:hint="eastAsia" w:ascii="宋体" w:hAnsi="宋体" w:eastAsia="宋体" w:cs="宋体"/>
        </w:rPr>
      </w:pPr>
    </w:p>
    <w:p w14:paraId="2BD0019A">
      <w:pPr>
        <w:pStyle w:val="34"/>
        <w:ind w:left="0" w:leftChars="0" w:right="240" w:firstLine="0" w:firstLineChars="0"/>
        <w:jc w:val="center"/>
        <w:rPr>
          <w:rFonts w:hint="eastAsia" w:ascii="宋体" w:hAnsi="宋体" w:eastAsia="宋体" w:cs="宋体"/>
          <w:sz w:val="52"/>
          <w:szCs w:val="52"/>
        </w:rPr>
      </w:pPr>
      <w:bookmarkStart w:id="302" w:name="_Toc495424905"/>
      <w:bookmarkStart w:id="303" w:name="_Toc495424172"/>
      <w:bookmarkStart w:id="304" w:name="_Toc22790"/>
      <w:bookmarkStart w:id="305" w:name="_Toc495425111"/>
      <w:r>
        <w:rPr>
          <w:rFonts w:hint="eastAsia" w:ascii="宋体" w:hAnsi="宋体" w:eastAsia="宋体" w:cs="宋体"/>
          <w:sz w:val="52"/>
          <w:szCs w:val="52"/>
        </w:rPr>
        <w:t>响应文件商务部分</w:t>
      </w:r>
      <w:bookmarkEnd w:id="302"/>
      <w:bookmarkEnd w:id="303"/>
      <w:bookmarkEnd w:id="304"/>
      <w:bookmarkEnd w:id="305"/>
    </w:p>
    <w:p w14:paraId="78AAE1D8">
      <w:pPr>
        <w:rPr>
          <w:rFonts w:hint="eastAsia" w:ascii="宋体" w:hAnsi="宋体" w:eastAsia="宋体" w:cs="宋体"/>
        </w:rPr>
      </w:pPr>
    </w:p>
    <w:p w14:paraId="7E24D1A8">
      <w:pPr>
        <w:rPr>
          <w:rFonts w:hint="eastAsia" w:ascii="宋体" w:hAnsi="宋体" w:eastAsia="宋体" w:cs="宋体"/>
        </w:rPr>
      </w:pPr>
    </w:p>
    <w:p w14:paraId="1A324E55">
      <w:pPr>
        <w:rPr>
          <w:rFonts w:hint="eastAsia" w:ascii="宋体" w:hAnsi="宋体" w:eastAsia="宋体" w:cs="宋体"/>
        </w:rPr>
      </w:pPr>
    </w:p>
    <w:p w14:paraId="3879E8BE">
      <w:pPr>
        <w:rPr>
          <w:rFonts w:hint="eastAsia" w:ascii="宋体" w:hAnsi="宋体" w:eastAsia="宋体" w:cs="宋体"/>
        </w:rPr>
      </w:pPr>
    </w:p>
    <w:p w14:paraId="46FA7834">
      <w:pPr>
        <w:rPr>
          <w:rFonts w:hint="eastAsia" w:ascii="宋体" w:hAnsi="宋体" w:eastAsia="宋体" w:cs="宋体"/>
        </w:rPr>
      </w:pPr>
    </w:p>
    <w:p w14:paraId="6F569425">
      <w:pPr>
        <w:rPr>
          <w:rFonts w:hint="eastAsia" w:ascii="宋体" w:hAnsi="宋体" w:eastAsia="宋体" w:cs="宋体"/>
        </w:rPr>
      </w:pPr>
    </w:p>
    <w:p w14:paraId="55B420C7">
      <w:pPr>
        <w:rPr>
          <w:rFonts w:hint="eastAsia" w:ascii="宋体" w:hAnsi="宋体" w:eastAsia="宋体" w:cs="宋体"/>
        </w:rPr>
      </w:pPr>
    </w:p>
    <w:p w14:paraId="33A80D1B">
      <w:pPr>
        <w:rPr>
          <w:rFonts w:hint="eastAsia" w:ascii="宋体" w:hAnsi="宋体" w:eastAsia="宋体" w:cs="宋体"/>
        </w:rPr>
      </w:pPr>
    </w:p>
    <w:p w14:paraId="3591830F">
      <w:pPr>
        <w:rPr>
          <w:rFonts w:hint="eastAsia" w:ascii="宋体" w:hAnsi="宋体" w:eastAsia="宋体" w:cs="宋体"/>
        </w:rPr>
      </w:pPr>
    </w:p>
    <w:p w14:paraId="4E5202A1">
      <w:r>
        <w:br w:type="page"/>
      </w:r>
    </w:p>
    <w:p w14:paraId="43C4E193">
      <w:pPr>
        <w:pStyle w:val="4"/>
        <w:bidi w:val="0"/>
        <w:rPr>
          <w:rFonts w:hint="eastAsia" w:eastAsia="宋体"/>
          <w:lang w:eastAsia="zh-CN"/>
        </w:rPr>
      </w:pPr>
      <w:bookmarkStart w:id="306" w:name="_Toc89351715"/>
      <w:bookmarkStart w:id="307" w:name="_Toc11383"/>
      <w:r>
        <w:rPr>
          <w:rFonts w:hint="eastAsia"/>
        </w:rPr>
        <w:t>一、磋商函</w:t>
      </w:r>
      <w:bookmarkEnd w:id="306"/>
      <w:r>
        <w:rPr>
          <w:rFonts w:hint="eastAsia"/>
          <w:lang w:eastAsia="zh-CN"/>
        </w:rPr>
        <w:t>及磋商函附录</w:t>
      </w:r>
      <w:bookmarkEnd w:id="307"/>
    </w:p>
    <w:p w14:paraId="44B4B750">
      <w:pPr>
        <w:pStyle w:val="4"/>
        <w:bidi w:val="0"/>
        <w:rPr>
          <w:rFonts w:hint="eastAsia"/>
          <w:lang w:val="en-US" w:eastAsia="zh-CN"/>
        </w:rPr>
      </w:pPr>
      <w:bookmarkStart w:id="308" w:name="_Toc5476"/>
      <w:r>
        <w:rPr>
          <w:rFonts w:hint="eastAsia"/>
          <w:lang w:val="en-US" w:eastAsia="zh-CN"/>
        </w:rPr>
        <w:t>1、磋商函</w:t>
      </w:r>
      <w:bookmarkEnd w:id="308"/>
    </w:p>
    <w:p w14:paraId="7AFCE5A7">
      <w:pPr>
        <w:spacing w:line="396" w:lineRule="auto"/>
        <w:rPr>
          <w:rFonts w:hint="eastAsia" w:ascii="宋体" w:hAnsi="宋体" w:eastAsia="宋体" w:cs="宋体"/>
          <w:sz w:val="24"/>
          <w:szCs w:val="20"/>
        </w:rPr>
      </w:pPr>
      <w:r>
        <w:rPr>
          <w:rFonts w:hint="eastAsia" w:ascii="宋体" w:hAnsi="宋体" w:eastAsia="宋体" w:cs="宋体"/>
          <w:sz w:val="24"/>
          <w:szCs w:val="20"/>
        </w:rPr>
        <w:t>致：</w:t>
      </w:r>
      <w:r>
        <w:rPr>
          <w:rFonts w:hint="eastAsia" w:ascii="宋体" w:hAnsi="宋体" w:eastAsia="宋体" w:cs="宋体"/>
          <w:sz w:val="24"/>
          <w:szCs w:val="20"/>
          <w:u w:val="single"/>
        </w:rPr>
        <w:t xml:space="preserve">                       </w:t>
      </w:r>
      <w:r>
        <w:rPr>
          <w:rFonts w:hint="eastAsia" w:ascii="宋体" w:hAnsi="宋体" w:eastAsia="宋体" w:cs="宋体"/>
          <w:sz w:val="24"/>
          <w:szCs w:val="20"/>
        </w:rPr>
        <w:t>（招标人名称）</w:t>
      </w:r>
    </w:p>
    <w:p w14:paraId="05F0080A">
      <w:pPr>
        <w:spacing w:line="396" w:lineRule="auto"/>
        <w:ind w:firstLine="480" w:firstLineChars="200"/>
        <w:rPr>
          <w:rFonts w:hint="eastAsia" w:ascii="宋体" w:hAnsi="宋体" w:eastAsia="宋体" w:cs="宋体"/>
          <w:bCs/>
          <w:sz w:val="24"/>
          <w:szCs w:val="22"/>
        </w:rPr>
      </w:pPr>
      <w:r>
        <w:rPr>
          <w:rFonts w:hint="eastAsia" w:ascii="宋体" w:hAnsi="宋体" w:eastAsia="宋体" w:cs="宋体"/>
          <w:bCs/>
          <w:sz w:val="24"/>
          <w:szCs w:val="22"/>
        </w:rPr>
        <w:t>1、我方已仔细研究了</w:t>
      </w:r>
      <w:r>
        <w:rPr>
          <w:rFonts w:hint="eastAsia" w:ascii="宋体" w:hAnsi="宋体" w:eastAsia="宋体" w:cs="宋体"/>
          <w:sz w:val="24"/>
          <w:szCs w:val="22"/>
          <w:u w:val="single"/>
        </w:rPr>
        <w:t xml:space="preserve">     （项目名称）    </w:t>
      </w:r>
      <w:r>
        <w:rPr>
          <w:rFonts w:hint="eastAsia" w:ascii="宋体" w:hAnsi="宋体" w:eastAsia="宋体" w:cs="宋体"/>
          <w:bCs/>
          <w:sz w:val="24"/>
          <w:szCs w:val="22"/>
        </w:rPr>
        <w:t>招标文件的全部内容，愿按照招标文件中规定的条款和要求，完成本项目。</w:t>
      </w:r>
      <w:r>
        <w:rPr>
          <w:rFonts w:hint="eastAsia" w:ascii="宋体" w:hAnsi="宋体" w:eastAsia="宋体" w:cs="宋体"/>
          <w:bCs/>
          <w:sz w:val="24"/>
          <w:szCs w:val="22"/>
          <w:highlight w:val="yellow"/>
        </w:rPr>
        <w:t>投标总报价为（大写）</w:t>
      </w:r>
      <w:r>
        <w:rPr>
          <w:rFonts w:hint="eastAsia" w:ascii="宋体" w:hAnsi="宋体" w:eastAsia="宋体" w:cs="宋体"/>
          <w:bCs/>
          <w:sz w:val="24"/>
          <w:szCs w:val="22"/>
          <w:highlight w:val="yellow"/>
          <w:u w:val="single"/>
        </w:rPr>
        <w:t xml:space="preserve">         </w:t>
      </w:r>
      <w:r>
        <w:rPr>
          <w:rFonts w:hint="eastAsia" w:ascii="宋体" w:hAnsi="宋体" w:eastAsia="宋体" w:cs="宋体"/>
          <w:bCs/>
          <w:sz w:val="24"/>
          <w:szCs w:val="22"/>
          <w:highlight w:val="yellow"/>
        </w:rPr>
        <w:t xml:space="preserve">（¥ </w:t>
      </w:r>
      <w:r>
        <w:rPr>
          <w:rFonts w:hint="eastAsia" w:ascii="宋体" w:hAnsi="宋体" w:eastAsia="宋体" w:cs="宋体"/>
          <w:bCs/>
          <w:sz w:val="24"/>
          <w:szCs w:val="22"/>
          <w:highlight w:val="yellow"/>
          <w:u w:val="single"/>
        </w:rPr>
        <w:t xml:space="preserve">      </w:t>
      </w:r>
      <w:r>
        <w:rPr>
          <w:rFonts w:hint="eastAsia" w:ascii="宋体" w:hAnsi="宋体" w:eastAsia="宋体" w:cs="宋体"/>
          <w:bCs/>
          <w:sz w:val="24"/>
          <w:szCs w:val="22"/>
          <w:highlight w:val="yellow"/>
        </w:rPr>
        <w:t>元）</w:t>
      </w:r>
      <w:r>
        <w:rPr>
          <w:rFonts w:hint="eastAsia" w:ascii="宋体" w:hAnsi="宋体" w:eastAsia="宋体" w:cs="宋体"/>
          <w:kern w:val="0"/>
          <w:sz w:val="24"/>
          <w:szCs w:val="20"/>
        </w:rPr>
        <w:t>，</w:t>
      </w:r>
      <w:r>
        <w:rPr>
          <w:rFonts w:hint="eastAsia" w:ascii="宋体" w:hAnsi="宋体" w:eastAsia="宋体" w:cs="宋体"/>
          <w:sz w:val="24"/>
          <w:szCs w:val="22"/>
        </w:rPr>
        <w:t>服务期限</w:t>
      </w:r>
      <w:r>
        <w:rPr>
          <w:rFonts w:hint="eastAsia" w:ascii="宋体" w:hAnsi="宋体" w:eastAsia="宋体" w:cs="宋体"/>
          <w:sz w:val="24"/>
          <w:szCs w:val="22"/>
          <w:u w:val="single"/>
        </w:rPr>
        <w:t xml:space="preserve">        </w:t>
      </w:r>
      <w:r>
        <w:rPr>
          <w:rFonts w:hint="eastAsia" w:ascii="宋体" w:hAnsi="宋体" w:eastAsia="宋体" w:cs="宋体"/>
          <w:bCs/>
          <w:sz w:val="24"/>
          <w:szCs w:val="22"/>
        </w:rPr>
        <w:t xml:space="preserve">，质量保证期 </w:t>
      </w:r>
      <w:r>
        <w:rPr>
          <w:rFonts w:hint="eastAsia" w:ascii="宋体" w:hAnsi="宋体" w:eastAsia="宋体" w:cs="宋体"/>
          <w:bCs/>
          <w:sz w:val="24"/>
          <w:szCs w:val="22"/>
          <w:u w:val="single"/>
        </w:rPr>
        <w:t xml:space="preserve">            </w:t>
      </w:r>
      <w:r>
        <w:rPr>
          <w:rFonts w:hint="eastAsia" w:ascii="宋体" w:hAnsi="宋体" w:eastAsia="宋体" w:cs="宋体"/>
          <w:bCs/>
          <w:sz w:val="24"/>
          <w:szCs w:val="22"/>
        </w:rPr>
        <w:t>。</w:t>
      </w:r>
    </w:p>
    <w:p w14:paraId="5FC327B3">
      <w:pPr>
        <w:spacing w:line="396" w:lineRule="auto"/>
        <w:ind w:firstLine="480" w:firstLineChars="200"/>
        <w:rPr>
          <w:rFonts w:hint="eastAsia" w:ascii="宋体" w:hAnsi="宋体" w:eastAsia="宋体" w:cs="宋体"/>
          <w:bCs/>
          <w:sz w:val="24"/>
          <w:szCs w:val="22"/>
        </w:rPr>
      </w:pPr>
      <w:r>
        <w:rPr>
          <w:rFonts w:hint="eastAsia" w:ascii="宋体" w:hAnsi="宋体" w:eastAsia="宋体" w:cs="宋体"/>
          <w:bCs/>
          <w:sz w:val="24"/>
          <w:szCs w:val="22"/>
        </w:rPr>
        <w:t xml:space="preserve">2、我方承诺在投标有效期内不修改、撤销投标文件。 </w:t>
      </w:r>
    </w:p>
    <w:p w14:paraId="180B6094">
      <w:pPr>
        <w:spacing w:line="396" w:lineRule="auto"/>
        <w:ind w:firstLine="480" w:firstLineChars="200"/>
        <w:rPr>
          <w:rFonts w:hint="eastAsia" w:ascii="宋体" w:hAnsi="宋体" w:eastAsia="宋体" w:cs="宋体"/>
          <w:bCs/>
          <w:sz w:val="24"/>
          <w:szCs w:val="22"/>
          <w:u w:val="single"/>
        </w:rPr>
      </w:pPr>
      <w:r>
        <w:rPr>
          <w:rFonts w:hint="eastAsia" w:ascii="宋体" w:hAnsi="宋体" w:eastAsia="宋体" w:cs="宋体"/>
          <w:bCs/>
          <w:sz w:val="24"/>
          <w:szCs w:val="22"/>
        </w:rPr>
        <w:t>3、投标保证金已按招标文件规定提交，金额为人民币（大写）</w:t>
      </w:r>
      <w:r>
        <w:rPr>
          <w:rFonts w:hint="eastAsia" w:ascii="宋体" w:hAnsi="宋体" w:eastAsia="宋体" w:cs="宋体"/>
          <w:bCs/>
          <w:sz w:val="24"/>
          <w:szCs w:val="22"/>
          <w:u w:val="single"/>
        </w:rPr>
        <w:t xml:space="preserve">           （¥        元）</w:t>
      </w:r>
    </w:p>
    <w:p w14:paraId="17F9EB84">
      <w:pPr>
        <w:spacing w:line="396" w:lineRule="auto"/>
        <w:ind w:firstLine="480" w:firstLineChars="200"/>
        <w:rPr>
          <w:rFonts w:hint="eastAsia" w:ascii="宋体" w:hAnsi="宋体" w:eastAsia="宋体" w:cs="宋体"/>
          <w:bCs/>
          <w:sz w:val="24"/>
          <w:szCs w:val="22"/>
        </w:rPr>
      </w:pPr>
      <w:r>
        <w:rPr>
          <w:rFonts w:hint="eastAsia" w:ascii="宋体" w:hAnsi="宋体" w:eastAsia="宋体" w:cs="宋体"/>
          <w:bCs/>
          <w:sz w:val="24"/>
          <w:szCs w:val="22"/>
        </w:rPr>
        <w:t xml:space="preserve">4、如我方中标： </w:t>
      </w:r>
    </w:p>
    <w:p w14:paraId="64893CFF">
      <w:pPr>
        <w:spacing w:line="396" w:lineRule="auto"/>
        <w:ind w:firstLine="480" w:firstLineChars="200"/>
        <w:rPr>
          <w:rFonts w:hint="eastAsia" w:ascii="宋体" w:hAnsi="宋体" w:eastAsia="宋体" w:cs="宋体"/>
          <w:bCs/>
          <w:sz w:val="24"/>
          <w:szCs w:val="22"/>
        </w:rPr>
      </w:pPr>
      <w:r>
        <w:rPr>
          <w:rFonts w:hint="eastAsia" w:ascii="宋体" w:hAnsi="宋体" w:eastAsia="宋体" w:cs="宋体"/>
          <w:bCs/>
          <w:sz w:val="24"/>
          <w:szCs w:val="22"/>
        </w:rPr>
        <w:t xml:space="preserve">（1）我方承诺在收到中标通知书后，在中标通知书规定的期限内与你方签订合同。 </w:t>
      </w:r>
    </w:p>
    <w:p w14:paraId="54DC0050">
      <w:pPr>
        <w:spacing w:line="396" w:lineRule="auto"/>
        <w:ind w:firstLine="480" w:firstLineChars="200"/>
        <w:rPr>
          <w:rFonts w:hint="eastAsia" w:ascii="宋体" w:hAnsi="宋体" w:eastAsia="宋体" w:cs="宋体"/>
          <w:bCs/>
          <w:sz w:val="24"/>
          <w:szCs w:val="22"/>
        </w:rPr>
      </w:pPr>
      <w:r>
        <w:rPr>
          <w:rFonts w:hint="eastAsia" w:ascii="宋体" w:hAnsi="宋体" w:eastAsia="宋体" w:cs="宋体"/>
          <w:bCs/>
          <w:sz w:val="24"/>
          <w:szCs w:val="22"/>
        </w:rPr>
        <w:t xml:space="preserve">（2）随同本投标函递交的投标函附录属于合同文件的组成部分。 </w:t>
      </w:r>
    </w:p>
    <w:p w14:paraId="0F2AADC8">
      <w:pPr>
        <w:spacing w:line="396" w:lineRule="auto"/>
        <w:ind w:firstLine="480" w:firstLineChars="200"/>
        <w:rPr>
          <w:rFonts w:hint="eastAsia" w:ascii="宋体" w:hAnsi="宋体" w:eastAsia="宋体" w:cs="宋体"/>
          <w:bCs/>
          <w:sz w:val="24"/>
          <w:szCs w:val="22"/>
        </w:rPr>
      </w:pPr>
      <w:r>
        <w:rPr>
          <w:rFonts w:hint="eastAsia" w:ascii="宋体" w:hAnsi="宋体" w:eastAsia="宋体" w:cs="宋体"/>
          <w:bCs/>
          <w:sz w:val="24"/>
          <w:szCs w:val="22"/>
        </w:rPr>
        <w:t xml:space="preserve">（3）我方承诺在合同约定的期限内完成本项目。 </w:t>
      </w:r>
    </w:p>
    <w:p w14:paraId="35790E4F">
      <w:pPr>
        <w:spacing w:line="396" w:lineRule="auto"/>
        <w:ind w:firstLine="480" w:firstLineChars="200"/>
        <w:rPr>
          <w:rFonts w:hint="eastAsia" w:ascii="宋体" w:hAnsi="宋体" w:eastAsia="宋体" w:cs="宋体"/>
          <w:bCs/>
          <w:sz w:val="24"/>
          <w:szCs w:val="22"/>
        </w:rPr>
      </w:pPr>
      <w:r>
        <w:rPr>
          <w:rFonts w:hint="eastAsia" w:ascii="宋体" w:hAnsi="宋体" w:eastAsia="宋体" w:cs="宋体"/>
          <w:bCs/>
          <w:sz w:val="24"/>
          <w:szCs w:val="22"/>
        </w:rPr>
        <w:t>5、我方在此声明，所递交的投标文件及有关资料内容完整、真实和准确。</w:t>
      </w:r>
    </w:p>
    <w:p w14:paraId="5E727567">
      <w:pPr>
        <w:spacing w:line="396" w:lineRule="auto"/>
        <w:ind w:firstLine="480" w:firstLineChars="200"/>
        <w:rPr>
          <w:rFonts w:hint="eastAsia" w:ascii="宋体" w:hAnsi="宋体" w:eastAsia="宋体" w:cs="宋体"/>
          <w:bCs/>
          <w:sz w:val="24"/>
          <w:szCs w:val="22"/>
        </w:rPr>
      </w:pPr>
      <w:r>
        <w:rPr>
          <w:rFonts w:hint="eastAsia" w:ascii="宋体" w:hAnsi="宋体" w:eastAsia="宋体" w:cs="宋体"/>
          <w:bCs/>
          <w:sz w:val="24"/>
          <w:szCs w:val="22"/>
        </w:rPr>
        <w:t>6、</w:t>
      </w:r>
      <w:r>
        <w:rPr>
          <w:rFonts w:hint="eastAsia" w:ascii="宋体" w:hAnsi="宋体" w:eastAsia="宋体" w:cs="宋体"/>
          <w:bCs/>
          <w:sz w:val="24"/>
          <w:szCs w:val="22"/>
          <w:u w:val="single"/>
        </w:rPr>
        <w:t xml:space="preserve">                                            </w:t>
      </w:r>
      <w:r>
        <w:rPr>
          <w:rFonts w:hint="eastAsia" w:ascii="宋体" w:hAnsi="宋体" w:eastAsia="宋体" w:cs="宋体"/>
          <w:bCs/>
          <w:sz w:val="24"/>
          <w:szCs w:val="22"/>
        </w:rPr>
        <w:t>（其他补充说明）。</w:t>
      </w:r>
    </w:p>
    <w:p w14:paraId="6B17FEC5">
      <w:pPr>
        <w:spacing w:line="396" w:lineRule="auto"/>
        <w:ind w:firstLine="480" w:firstLineChars="200"/>
        <w:rPr>
          <w:rFonts w:hint="eastAsia" w:ascii="宋体" w:hAnsi="宋体" w:eastAsia="宋体" w:cs="宋体"/>
          <w:bCs/>
          <w:sz w:val="24"/>
          <w:szCs w:val="24"/>
        </w:rPr>
      </w:pPr>
    </w:p>
    <w:p w14:paraId="642A020A">
      <w:pPr>
        <w:spacing w:line="396" w:lineRule="auto"/>
        <w:ind w:firstLine="480" w:firstLineChars="200"/>
        <w:rPr>
          <w:rFonts w:hint="eastAsia" w:ascii="宋体" w:hAnsi="宋体" w:eastAsia="宋体" w:cs="宋体"/>
          <w:bCs/>
          <w:sz w:val="24"/>
          <w:szCs w:val="24"/>
        </w:rPr>
      </w:pPr>
    </w:p>
    <w:p w14:paraId="0CA2367C">
      <w:pPr>
        <w:spacing w:line="396" w:lineRule="auto"/>
        <w:ind w:firstLine="480" w:firstLineChars="200"/>
        <w:rPr>
          <w:rFonts w:hint="eastAsia" w:ascii="宋体" w:hAnsi="宋体" w:eastAsia="宋体" w:cs="宋体"/>
          <w:bCs/>
          <w:sz w:val="24"/>
          <w:szCs w:val="24"/>
        </w:rPr>
      </w:pPr>
    </w:p>
    <w:p w14:paraId="1F152E2E">
      <w:pPr>
        <w:spacing w:line="396" w:lineRule="auto"/>
        <w:ind w:firstLine="480" w:firstLineChars="200"/>
        <w:rPr>
          <w:rFonts w:hint="eastAsia" w:ascii="宋体" w:hAnsi="宋体" w:eastAsia="宋体" w:cs="宋体"/>
          <w:bCs/>
          <w:sz w:val="24"/>
          <w:szCs w:val="24"/>
        </w:rPr>
      </w:pPr>
    </w:p>
    <w:p w14:paraId="71CCA430">
      <w:pPr>
        <w:pStyle w:val="12"/>
        <w:spacing w:line="396" w:lineRule="auto"/>
        <w:rPr>
          <w:rFonts w:hint="eastAsia" w:ascii="宋体" w:hAnsi="宋体" w:eastAsia="宋体" w:cs="宋体"/>
          <w:sz w:val="24"/>
          <w:szCs w:val="24"/>
          <w:u w:val="single"/>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14:paraId="6984EC00">
      <w:pPr>
        <w:pStyle w:val="12"/>
        <w:spacing w:line="396" w:lineRule="auto"/>
        <w:rPr>
          <w:rFonts w:hint="eastAsia" w:ascii="宋体" w:hAnsi="宋体" w:eastAsia="宋体" w:cs="宋体"/>
          <w:sz w:val="24"/>
          <w:szCs w:val="24"/>
        </w:rPr>
      </w:pPr>
      <w:r>
        <w:rPr>
          <w:rFonts w:hint="eastAsia" w:ascii="宋体" w:hAnsi="宋体" w:eastAsia="宋体" w:cs="宋体"/>
          <w:sz w:val="24"/>
          <w:szCs w:val="24"/>
        </w:rPr>
        <w:t xml:space="preserve">法人代表或其委托代理人：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（签字或盖章）</w:t>
      </w:r>
    </w:p>
    <w:p w14:paraId="43E84F47">
      <w:pPr>
        <w:pStyle w:val="12"/>
        <w:spacing w:line="396" w:lineRule="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______</w:t>
      </w:r>
      <w:r>
        <w:rPr>
          <w:rFonts w:hint="eastAsia" w:ascii="宋体" w:hAnsi="宋体" w:eastAsia="宋体" w:cs="宋体"/>
          <w:sz w:val="24"/>
          <w:szCs w:val="24"/>
        </w:rPr>
        <w:t>年</w:t>
      </w:r>
      <w:r>
        <w:rPr>
          <w:rFonts w:hint="eastAsia" w:ascii="宋体" w:hAnsi="宋体" w:eastAsia="宋体" w:cs="宋体"/>
          <w:sz w:val="24"/>
          <w:szCs w:val="24"/>
          <w:u w:val="single"/>
        </w:rPr>
        <w:t>_____</w:t>
      </w:r>
      <w:r>
        <w:rPr>
          <w:rFonts w:hint="eastAsia" w:ascii="宋体" w:hAnsi="宋体" w:eastAsia="宋体" w:cs="宋体"/>
          <w:sz w:val="24"/>
          <w:szCs w:val="24"/>
        </w:rPr>
        <w:t>月</w:t>
      </w:r>
      <w:r>
        <w:rPr>
          <w:rFonts w:hint="eastAsia" w:ascii="宋体" w:hAnsi="宋体" w:eastAsia="宋体" w:cs="宋体"/>
          <w:sz w:val="24"/>
          <w:szCs w:val="24"/>
          <w:u w:val="single"/>
        </w:rPr>
        <w:t>_____</w:t>
      </w:r>
      <w:r>
        <w:rPr>
          <w:rFonts w:hint="eastAsia" w:ascii="宋体" w:hAnsi="宋体" w:eastAsia="宋体" w:cs="宋体"/>
          <w:sz w:val="24"/>
          <w:szCs w:val="24"/>
        </w:rPr>
        <w:t>日</w:t>
      </w:r>
    </w:p>
    <w:p w14:paraId="51DDB7E7">
      <w:r>
        <w:br w:type="page"/>
      </w:r>
    </w:p>
    <w:p w14:paraId="081E60D0">
      <w:pPr>
        <w:pStyle w:val="4"/>
        <w:bidi w:val="0"/>
        <w:rPr>
          <w:rFonts w:hint="eastAsia"/>
        </w:rPr>
      </w:pPr>
      <w:bookmarkStart w:id="309" w:name="_Toc89351716"/>
      <w:bookmarkStart w:id="310" w:name="_Toc4492"/>
      <w:r>
        <w:rPr>
          <w:rFonts w:hint="eastAsia"/>
          <w:lang w:val="en-US" w:eastAsia="zh-CN"/>
        </w:rPr>
        <w:t>2</w:t>
      </w:r>
      <w:r>
        <w:rPr>
          <w:rFonts w:hint="eastAsia"/>
        </w:rPr>
        <w:t>、磋商函附录</w:t>
      </w:r>
      <w:bookmarkEnd w:id="309"/>
      <w:bookmarkEnd w:id="310"/>
    </w:p>
    <w:tbl>
      <w:tblPr>
        <w:tblStyle w:val="23"/>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7332"/>
      </w:tblGrid>
      <w:tr w14:paraId="3468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44" w:type="dxa"/>
            <w:noWrap w:val="0"/>
            <w:vAlign w:val="center"/>
          </w:tcPr>
          <w:p w14:paraId="5421740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7332" w:type="dxa"/>
            <w:noWrap w:val="0"/>
            <w:vAlign w:val="center"/>
          </w:tcPr>
          <w:p w14:paraId="7F3B9B5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u w:val="single"/>
              </w:rPr>
            </w:pPr>
          </w:p>
        </w:tc>
      </w:tr>
      <w:tr w14:paraId="4587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44" w:type="dxa"/>
            <w:noWrap w:val="0"/>
            <w:vAlign w:val="center"/>
          </w:tcPr>
          <w:p w14:paraId="4DFF54E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投标总报价</w:t>
            </w:r>
          </w:p>
        </w:tc>
        <w:tc>
          <w:tcPr>
            <w:tcW w:w="7332" w:type="dxa"/>
            <w:noWrap w:val="0"/>
            <w:vAlign w:val="center"/>
          </w:tcPr>
          <w:p w14:paraId="3EAA7BF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rPr>
              <w:t>人民币大写（元）：</w:t>
            </w:r>
            <w:r>
              <w:rPr>
                <w:rFonts w:hint="eastAsia" w:ascii="宋体" w:hAnsi="宋体" w:eastAsia="宋体" w:cs="宋体"/>
                <w:sz w:val="24"/>
                <w:szCs w:val="24"/>
                <w:u w:val="single"/>
              </w:rPr>
              <w:t xml:space="preserve">                 </w:t>
            </w:r>
          </w:p>
          <w:p w14:paraId="0C92466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rPr>
              <w:t>人民币小写（元）：</w:t>
            </w:r>
            <w:r>
              <w:rPr>
                <w:rFonts w:hint="eastAsia" w:ascii="宋体" w:hAnsi="宋体" w:eastAsia="宋体" w:cs="宋体"/>
                <w:sz w:val="24"/>
                <w:szCs w:val="24"/>
                <w:u w:val="single"/>
              </w:rPr>
              <w:t xml:space="preserve">                 </w:t>
            </w:r>
          </w:p>
          <w:p w14:paraId="4723B7B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其中：计算机、打印机类总报价</w:t>
            </w:r>
            <w:r>
              <w:rPr>
                <w:rFonts w:hint="eastAsia" w:cs="宋体"/>
                <w:color w:val="000000"/>
                <w:sz w:val="24"/>
                <w:szCs w:val="24"/>
                <w:lang w:val="en-US" w:eastAsia="zh-CN"/>
              </w:rPr>
              <w:t>：</w:t>
            </w:r>
          </w:p>
          <w:p w14:paraId="0CCD4563">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u w:val="single"/>
              </w:rPr>
            </w:pPr>
            <w:r>
              <w:rPr>
                <w:rFonts w:hint="eastAsia" w:ascii="宋体" w:hAnsi="宋体" w:eastAsia="宋体" w:cs="宋体"/>
                <w:color w:val="000000"/>
                <w:sz w:val="24"/>
                <w:szCs w:val="24"/>
                <w:lang w:val="en-US" w:eastAsia="zh-CN"/>
              </w:rPr>
              <w:t>耗材类总报价</w:t>
            </w:r>
            <w:r>
              <w:rPr>
                <w:rFonts w:hint="eastAsia" w:cs="宋体"/>
                <w:color w:val="000000"/>
                <w:sz w:val="24"/>
                <w:szCs w:val="24"/>
                <w:lang w:val="en-US" w:eastAsia="zh-CN"/>
              </w:rPr>
              <w:t>：</w:t>
            </w:r>
          </w:p>
        </w:tc>
      </w:tr>
      <w:tr w14:paraId="605E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44" w:type="dxa"/>
            <w:noWrap w:val="0"/>
            <w:vAlign w:val="center"/>
          </w:tcPr>
          <w:p w14:paraId="4EDDE92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投标报价</w:t>
            </w:r>
          </w:p>
        </w:tc>
        <w:tc>
          <w:tcPr>
            <w:tcW w:w="7332" w:type="dxa"/>
            <w:noWrap w:val="0"/>
            <w:vAlign w:val="center"/>
          </w:tcPr>
          <w:p w14:paraId="3BF9F9C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我方报价已包含招标文件第二章“投标人须知”第3.2项规定计取的所有费用。</w:t>
            </w:r>
          </w:p>
          <w:p w14:paraId="5EB15DA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增值税税金的计算方法：</w:t>
            </w:r>
            <w:r>
              <w:rPr>
                <w:rFonts w:hint="eastAsia" w:ascii="宋体" w:hAnsi="宋体" w:eastAsia="宋体" w:cs="宋体"/>
                <w:b/>
                <w:sz w:val="24"/>
                <w:szCs w:val="24"/>
              </w:rPr>
              <w:t>简易计税方法计算（增值税普通发票）</w:t>
            </w:r>
            <w:r>
              <w:rPr>
                <w:rFonts w:hint="eastAsia" w:ascii="宋体" w:hAnsi="宋体" w:eastAsia="宋体" w:cs="宋体"/>
                <w:sz w:val="24"/>
                <w:szCs w:val="24"/>
              </w:rPr>
              <w:t>。</w:t>
            </w:r>
          </w:p>
        </w:tc>
      </w:tr>
      <w:tr w14:paraId="02D8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44" w:type="dxa"/>
            <w:noWrap w:val="0"/>
            <w:vAlign w:val="center"/>
          </w:tcPr>
          <w:p w14:paraId="5851924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投标内容</w:t>
            </w:r>
          </w:p>
        </w:tc>
        <w:tc>
          <w:tcPr>
            <w:tcW w:w="7332" w:type="dxa"/>
            <w:noWrap w:val="0"/>
            <w:vAlign w:val="center"/>
          </w:tcPr>
          <w:p w14:paraId="76D7F9F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r>
      <w:tr w14:paraId="63E4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44" w:type="dxa"/>
            <w:noWrap w:val="0"/>
            <w:vAlign w:val="center"/>
          </w:tcPr>
          <w:p w14:paraId="3DC98BA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服务期限</w:t>
            </w:r>
          </w:p>
        </w:tc>
        <w:tc>
          <w:tcPr>
            <w:tcW w:w="7332" w:type="dxa"/>
            <w:noWrap w:val="0"/>
            <w:vAlign w:val="center"/>
          </w:tcPr>
          <w:p w14:paraId="42B081C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0"/>
                <w:sz w:val="24"/>
                <w:szCs w:val="24"/>
              </w:rPr>
            </w:pPr>
          </w:p>
        </w:tc>
      </w:tr>
      <w:tr w14:paraId="48A5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44" w:type="dxa"/>
            <w:noWrap w:val="0"/>
            <w:vAlign w:val="center"/>
          </w:tcPr>
          <w:p w14:paraId="58E80F8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质量</w:t>
            </w:r>
            <w:r>
              <w:rPr>
                <w:rFonts w:hint="eastAsia" w:ascii="宋体" w:hAnsi="宋体" w:eastAsia="宋体" w:cs="宋体"/>
                <w:sz w:val="24"/>
                <w:szCs w:val="24"/>
                <w:lang w:val="en-US" w:eastAsia="zh-CN"/>
              </w:rPr>
              <w:t>保证期</w:t>
            </w:r>
          </w:p>
        </w:tc>
        <w:tc>
          <w:tcPr>
            <w:tcW w:w="7332" w:type="dxa"/>
            <w:noWrap w:val="0"/>
            <w:vAlign w:val="center"/>
          </w:tcPr>
          <w:p w14:paraId="029EA88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p>
        </w:tc>
      </w:tr>
      <w:tr w14:paraId="2BF8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44" w:type="dxa"/>
            <w:noWrap w:val="0"/>
            <w:vAlign w:val="center"/>
          </w:tcPr>
          <w:p w14:paraId="77A0641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磋商</w:t>
            </w:r>
            <w:r>
              <w:rPr>
                <w:rFonts w:hint="eastAsia" w:ascii="宋体" w:hAnsi="宋体" w:eastAsia="宋体" w:cs="宋体"/>
                <w:sz w:val="24"/>
                <w:szCs w:val="24"/>
              </w:rPr>
              <w:t>有效期</w:t>
            </w:r>
          </w:p>
        </w:tc>
        <w:tc>
          <w:tcPr>
            <w:tcW w:w="7332" w:type="dxa"/>
            <w:noWrap w:val="0"/>
            <w:vAlign w:val="center"/>
          </w:tcPr>
          <w:p w14:paraId="5ACEBF9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自提交投标文件截止之日起</w:t>
            </w:r>
            <w:r>
              <w:rPr>
                <w:rFonts w:hint="eastAsia" w:ascii="宋体" w:hAnsi="宋体" w:eastAsia="宋体" w:cs="宋体"/>
                <w:sz w:val="24"/>
                <w:szCs w:val="24"/>
                <w:u w:val="single"/>
              </w:rPr>
              <w:t>90</w:t>
            </w:r>
            <w:r>
              <w:rPr>
                <w:rFonts w:hint="eastAsia" w:ascii="宋体" w:hAnsi="宋体" w:eastAsia="宋体" w:cs="宋体"/>
                <w:sz w:val="24"/>
                <w:szCs w:val="24"/>
              </w:rPr>
              <w:t>日历天</w:t>
            </w:r>
          </w:p>
        </w:tc>
      </w:tr>
      <w:tr w14:paraId="28E0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44" w:type="dxa"/>
            <w:noWrap w:val="0"/>
            <w:vAlign w:val="center"/>
          </w:tcPr>
          <w:p w14:paraId="1901326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权利义务</w:t>
            </w:r>
          </w:p>
        </w:tc>
        <w:tc>
          <w:tcPr>
            <w:tcW w:w="7332" w:type="dxa"/>
            <w:noWrap w:val="0"/>
            <w:vAlign w:val="center"/>
          </w:tcPr>
          <w:p w14:paraId="10BC606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我方完全响应第二章“投标人须知”第1.12.1项规定和第四章“合同条款及格式”中的实质性要求和条件。</w:t>
            </w:r>
          </w:p>
        </w:tc>
      </w:tr>
      <w:tr w14:paraId="70D7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44" w:type="dxa"/>
            <w:noWrap w:val="0"/>
            <w:vAlign w:val="center"/>
          </w:tcPr>
          <w:p w14:paraId="7B3EE17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zh-CN"/>
              </w:rPr>
              <w:t>不存在禁止投标的情形</w:t>
            </w:r>
          </w:p>
        </w:tc>
        <w:tc>
          <w:tcPr>
            <w:tcW w:w="7332" w:type="dxa"/>
            <w:noWrap w:val="0"/>
            <w:vAlign w:val="center"/>
          </w:tcPr>
          <w:p w14:paraId="56CD22F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我方在此声明，我方不存在第二章“投标人须知”第1.4.3规定的任何一种情形。</w:t>
            </w:r>
          </w:p>
        </w:tc>
      </w:tr>
    </w:tbl>
    <w:p w14:paraId="1BF79091">
      <w:pPr>
        <w:spacing w:line="360" w:lineRule="auto"/>
        <w:ind w:firstLine="562" w:firstLineChars="200"/>
        <w:rPr>
          <w:rFonts w:hint="eastAsia" w:ascii="宋体" w:hAnsi="宋体" w:eastAsia="宋体" w:cs="宋体"/>
          <w:b/>
          <w:szCs w:val="21"/>
        </w:rPr>
      </w:pPr>
    </w:p>
    <w:p w14:paraId="2C5B2D73">
      <w:pPr>
        <w:spacing w:line="360" w:lineRule="auto"/>
        <w:ind w:firstLine="354" w:firstLineChars="147"/>
        <w:rPr>
          <w:rFonts w:hint="eastAsia" w:ascii="宋体" w:hAnsi="宋体" w:eastAsia="宋体" w:cs="宋体"/>
          <w:b/>
          <w:sz w:val="24"/>
          <w:szCs w:val="20"/>
        </w:rPr>
      </w:pPr>
      <w:r>
        <w:rPr>
          <w:rFonts w:hint="eastAsia" w:ascii="宋体" w:hAnsi="宋体" w:eastAsia="宋体" w:cs="宋体"/>
          <w:b/>
          <w:sz w:val="24"/>
          <w:szCs w:val="20"/>
        </w:rPr>
        <w:t>备注：上表内容均不接受负偏离，如响应内容在招标答疑、澄清文件中修改，请按修改后内容自行修改。</w:t>
      </w:r>
    </w:p>
    <w:p w14:paraId="69AB8053">
      <w:pPr>
        <w:spacing w:line="360" w:lineRule="auto"/>
        <w:ind w:firstLine="354" w:firstLineChars="147"/>
        <w:rPr>
          <w:rFonts w:hint="eastAsia" w:ascii="宋体" w:hAnsi="宋体" w:eastAsia="宋体" w:cs="宋体"/>
          <w:b/>
          <w:sz w:val="24"/>
          <w:szCs w:val="20"/>
        </w:rPr>
      </w:pPr>
    </w:p>
    <w:p w14:paraId="3258E151">
      <w:pPr>
        <w:spacing w:line="360" w:lineRule="auto"/>
        <w:ind w:firstLine="480" w:firstLineChars="200"/>
        <w:rPr>
          <w:rFonts w:hint="eastAsia" w:ascii="宋体" w:hAnsi="宋体" w:eastAsia="宋体" w:cs="宋体"/>
          <w:sz w:val="24"/>
          <w:szCs w:val="20"/>
          <w:u w:val="single"/>
        </w:rPr>
      </w:pPr>
      <w:r>
        <w:rPr>
          <w:rFonts w:hint="eastAsia" w:ascii="宋体" w:hAnsi="宋体" w:eastAsia="宋体" w:cs="宋体"/>
          <w:sz w:val="24"/>
          <w:szCs w:val="20"/>
        </w:rPr>
        <w:t>响应人：</w:t>
      </w:r>
      <w:r>
        <w:rPr>
          <w:rFonts w:hint="eastAsia" w:ascii="宋体" w:hAnsi="宋体" w:eastAsia="宋体" w:cs="宋体"/>
          <w:sz w:val="24"/>
          <w:szCs w:val="20"/>
          <w:u w:val="single"/>
        </w:rPr>
        <w:t xml:space="preserve">_________________________ </w:t>
      </w:r>
      <w:r>
        <w:rPr>
          <w:rFonts w:hint="eastAsia" w:ascii="宋体" w:hAnsi="宋体" w:eastAsia="宋体" w:cs="宋体"/>
          <w:sz w:val="24"/>
          <w:szCs w:val="20"/>
        </w:rPr>
        <w:t xml:space="preserve"> （盖单位公章）</w:t>
      </w:r>
    </w:p>
    <w:p w14:paraId="0308C298">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0"/>
        </w:rPr>
        <w:t>法人代表或其委托代理人</w:t>
      </w:r>
      <w:r>
        <w:rPr>
          <w:rFonts w:hint="eastAsia" w:ascii="宋体" w:hAnsi="宋体" w:eastAsia="宋体" w:cs="宋体"/>
          <w:sz w:val="24"/>
          <w:szCs w:val="22"/>
        </w:rPr>
        <w:t>：</w:t>
      </w:r>
      <w:r>
        <w:rPr>
          <w:rFonts w:hint="eastAsia" w:ascii="宋体" w:hAnsi="宋体" w:eastAsia="宋体" w:cs="宋体"/>
          <w:sz w:val="24"/>
          <w:szCs w:val="20"/>
          <w:u w:val="single"/>
        </w:rPr>
        <w:t>___________________</w:t>
      </w:r>
      <w:r>
        <w:rPr>
          <w:rFonts w:hint="eastAsia" w:ascii="宋体" w:hAnsi="宋体" w:eastAsia="宋体" w:cs="宋体"/>
          <w:sz w:val="24"/>
          <w:szCs w:val="20"/>
        </w:rPr>
        <w:t>（签字或盖章）</w:t>
      </w:r>
    </w:p>
    <w:p w14:paraId="7B999445">
      <w:pPr>
        <w:spacing w:line="360" w:lineRule="auto"/>
        <w:ind w:firstLine="480" w:firstLineChars="200"/>
        <w:rPr>
          <w:rFonts w:hint="eastAsia" w:ascii="宋体" w:hAnsi="宋体" w:eastAsia="宋体" w:cs="宋体"/>
          <w:b/>
          <w:sz w:val="24"/>
          <w:szCs w:val="20"/>
        </w:rPr>
      </w:pPr>
      <w:r>
        <w:rPr>
          <w:rFonts w:hint="eastAsia" w:ascii="宋体" w:hAnsi="宋体" w:eastAsia="宋体" w:cs="宋体"/>
          <w:sz w:val="24"/>
          <w:szCs w:val="22"/>
        </w:rPr>
        <w:t>日 期：</w:t>
      </w:r>
      <w:r>
        <w:rPr>
          <w:rFonts w:hint="eastAsia" w:ascii="宋体" w:hAnsi="宋体" w:eastAsia="宋体" w:cs="宋体"/>
          <w:sz w:val="24"/>
          <w:szCs w:val="22"/>
          <w:u w:val="single"/>
        </w:rPr>
        <w:t>______</w:t>
      </w:r>
      <w:r>
        <w:rPr>
          <w:rFonts w:hint="eastAsia" w:ascii="宋体" w:hAnsi="宋体" w:eastAsia="宋体" w:cs="宋体"/>
          <w:sz w:val="24"/>
          <w:szCs w:val="22"/>
        </w:rPr>
        <w:t>年</w:t>
      </w:r>
      <w:r>
        <w:rPr>
          <w:rFonts w:hint="eastAsia" w:ascii="宋体" w:hAnsi="宋体" w:eastAsia="宋体" w:cs="宋体"/>
          <w:sz w:val="24"/>
          <w:szCs w:val="22"/>
          <w:u w:val="single"/>
        </w:rPr>
        <w:t>_____</w:t>
      </w:r>
      <w:r>
        <w:rPr>
          <w:rFonts w:hint="eastAsia" w:ascii="宋体" w:hAnsi="宋体" w:eastAsia="宋体" w:cs="宋体"/>
          <w:sz w:val="24"/>
          <w:szCs w:val="22"/>
        </w:rPr>
        <w:t>月</w:t>
      </w:r>
      <w:r>
        <w:rPr>
          <w:rFonts w:hint="eastAsia" w:ascii="宋体" w:hAnsi="宋体" w:eastAsia="宋体" w:cs="宋体"/>
          <w:sz w:val="24"/>
          <w:szCs w:val="22"/>
          <w:u w:val="single"/>
        </w:rPr>
        <w:t>_____</w:t>
      </w:r>
      <w:r>
        <w:rPr>
          <w:rFonts w:hint="eastAsia" w:ascii="宋体" w:hAnsi="宋体" w:eastAsia="宋体" w:cs="宋体"/>
          <w:sz w:val="24"/>
          <w:szCs w:val="22"/>
        </w:rPr>
        <w:t>日</w:t>
      </w:r>
    </w:p>
    <w:p w14:paraId="11387F5A">
      <w:r>
        <w:br w:type="page"/>
      </w:r>
    </w:p>
    <w:p w14:paraId="77F68282">
      <w:pPr>
        <w:pStyle w:val="4"/>
        <w:bidi w:val="0"/>
        <w:rPr>
          <w:rFonts w:hint="eastAsia"/>
          <w:lang w:val="en-US" w:eastAsia="zh-CN"/>
        </w:rPr>
      </w:pPr>
      <w:bookmarkStart w:id="311" w:name="_Toc5689"/>
      <w:bookmarkStart w:id="312" w:name="_Toc495425114"/>
      <w:bookmarkStart w:id="313" w:name="_Toc495424175"/>
      <w:bookmarkStart w:id="314" w:name="_Toc495424908"/>
      <w:r>
        <w:rPr>
          <w:rFonts w:hint="eastAsia"/>
          <w:lang w:val="en-US" w:eastAsia="zh-CN"/>
        </w:rPr>
        <w:t>二</w:t>
      </w:r>
      <w:r>
        <w:rPr>
          <w:rFonts w:hint="eastAsia"/>
          <w:lang w:eastAsia="zh-CN"/>
        </w:rPr>
        <w:t>、</w:t>
      </w:r>
      <w:r>
        <w:rPr>
          <w:rFonts w:hint="eastAsia"/>
          <w:lang w:val="en-US" w:eastAsia="zh-CN"/>
        </w:rPr>
        <w:t>货物分项报价表</w:t>
      </w:r>
      <w:bookmarkEnd w:id="311"/>
    </w:p>
    <w:p w14:paraId="6045E589">
      <w:pPr>
        <w:pStyle w:val="4"/>
        <w:bidi w:val="0"/>
        <w:rPr>
          <w:rFonts w:hint="eastAsia"/>
          <w:lang w:val="en-US" w:eastAsia="zh-CN"/>
        </w:rPr>
      </w:pPr>
      <w:bookmarkStart w:id="315" w:name="_Toc758"/>
      <w:r>
        <w:rPr>
          <w:rFonts w:hint="eastAsia"/>
          <w:lang w:val="en-US" w:eastAsia="zh-CN"/>
        </w:rPr>
        <w:t>1、计算机、打印机类分项报价表</w:t>
      </w:r>
      <w:bookmarkEnd w:id="315"/>
    </w:p>
    <w:tbl>
      <w:tblPr>
        <w:tblStyle w:val="2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85"/>
        <w:gridCol w:w="1665"/>
        <w:gridCol w:w="840"/>
        <w:gridCol w:w="915"/>
        <w:gridCol w:w="1230"/>
        <w:gridCol w:w="1300"/>
      </w:tblGrid>
      <w:tr w14:paraId="4315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6" w:type="dxa"/>
            <w:noWrap w:val="0"/>
            <w:vAlign w:val="center"/>
          </w:tcPr>
          <w:p w14:paraId="118E012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序号</w:t>
            </w:r>
          </w:p>
        </w:tc>
        <w:tc>
          <w:tcPr>
            <w:tcW w:w="2185" w:type="dxa"/>
            <w:noWrap w:val="0"/>
            <w:vAlign w:val="center"/>
          </w:tcPr>
          <w:p w14:paraId="0AB5C7F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设备名称</w:t>
            </w:r>
          </w:p>
        </w:tc>
        <w:tc>
          <w:tcPr>
            <w:tcW w:w="1665" w:type="dxa"/>
            <w:noWrap w:val="0"/>
            <w:vAlign w:val="center"/>
          </w:tcPr>
          <w:p w14:paraId="5FC0895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Fonts w:hint="eastAsia" w:cs="宋体"/>
                <w:color w:val="000000" w:themeColor="text1"/>
                <w:sz w:val="24"/>
                <w:szCs w:val="24"/>
                <w:highlight w:val="none"/>
                <w:lang w:val="en-US" w:eastAsia="zh-CN" w:bidi="ar"/>
                <w14:textFill>
                  <w14:solidFill>
                    <w14:schemeClr w14:val="tx1"/>
                  </w14:solidFill>
                </w14:textFill>
              </w:rPr>
              <w:t>品牌、型号</w:t>
            </w:r>
          </w:p>
        </w:tc>
        <w:tc>
          <w:tcPr>
            <w:tcW w:w="840" w:type="dxa"/>
            <w:noWrap w:val="0"/>
            <w:vAlign w:val="center"/>
          </w:tcPr>
          <w:p w14:paraId="132D796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单位</w:t>
            </w:r>
          </w:p>
        </w:tc>
        <w:tc>
          <w:tcPr>
            <w:tcW w:w="915" w:type="dxa"/>
            <w:noWrap w:val="0"/>
            <w:vAlign w:val="center"/>
          </w:tcPr>
          <w:p w14:paraId="120BF8E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数量</w:t>
            </w:r>
          </w:p>
        </w:tc>
        <w:tc>
          <w:tcPr>
            <w:tcW w:w="1230" w:type="dxa"/>
            <w:noWrap w:val="0"/>
            <w:vAlign w:val="center"/>
          </w:tcPr>
          <w:p w14:paraId="76E390A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单价（元）</w:t>
            </w:r>
          </w:p>
        </w:tc>
        <w:tc>
          <w:tcPr>
            <w:tcW w:w="1300" w:type="dxa"/>
            <w:noWrap w:val="0"/>
            <w:vAlign w:val="center"/>
          </w:tcPr>
          <w:p w14:paraId="437B01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cs="宋体"/>
                <w:color w:val="000000" w:themeColor="text1"/>
                <w:sz w:val="24"/>
                <w:szCs w:val="24"/>
                <w:highlight w:val="none"/>
                <w:lang w:val="en-US" w:eastAsia="zh-CN" w:bidi="ar"/>
                <w14:textFill>
                  <w14:solidFill>
                    <w14:schemeClr w14:val="tx1"/>
                  </w14:solidFill>
                </w14:textFill>
              </w:rPr>
              <w:t>合计（元）</w:t>
            </w:r>
          </w:p>
        </w:tc>
      </w:tr>
      <w:tr w14:paraId="5D34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6" w:type="dxa"/>
            <w:noWrap w:val="0"/>
            <w:vAlign w:val="center"/>
          </w:tcPr>
          <w:p w14:paraId="4C5A19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185" w:type="dxa"/>
            <w:noWrap w:val="0"/>
            <w:vAlign w:val="center"/>
          </w:tcPr>
          <w:p w14:paraId="25ED2D4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t>计算机一体机</w:t>
            </w:r>
          </w:p>
        </w:tc>
        <w:tc>
          <w:tcPr>
            <w:tcW w:w="1665" w:type="dxa"/>
            <w:noWrap w:val="0"/>
            <w:vAlign w:val="center"/>
          </w:tcPr>
          <w:p w14:paraId="18DB17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840" w:type="dxa"/>
            <w:noWrap w:val="0"/>
            <w:vAlign w:val="center"/>
          </w:tcPr>
          <w:p w14:paraId="7D80C2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t>台</w:t>
            </w:r>
          </w:p>
        </w:tc>
        <w:tc>
          <w:tcPr>
            <w:tcW w:w="915" w:type="dxa"/>
            <w:noWrap w:val="0"/>
            <w:vAlign w:val="center"/>
          </w:tcPr>
          <w:p w14:paraId="4AD7312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230" w:type="dxa"/>
            <w:noWrap w:val="0"/>
            <w:vAlign w:val="center"/>
          </w:tcPr>
          <w:p w14:paraId="1BA14D6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0" w:type="dxa"/>
            <w:noWrap w:val="0"/>
            <w:vAlign w:val="center"/>
          </w:tcPr>
          <w:p w14:paraId="1F7EB8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2894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6" w:type="dxa"/>
            <w:noWrap w:val="0"/>
            <w:vAlign w:val="center"/>
          </w:tcPr>
          <w:p w14:paraId="062EBF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2185" w:type="dxa"/>
            <w:noWrap w:val="0"/>
            <w:vAlign w:val="center"/>
          </w:tcPr>
          <w:p w14:paraId="50D11A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Style w:val="33"/>
                <w:rFonts w:hint="eastAsia" w:cs="宋体"/>
                <w:color w:val="000000" w:themeColor="text1"/>
                <w:sz w:val="24"/>
                <w:szCs w:val="24"/>
                <w:highlight w:val="none"/>
                <w:lang w:val="en-US" w:eastAsia="zh-CN" w:bidi="ar"/>
                <w14:textFill>
                  <w14:solidFill>
                    <w14:schemeClr w14:val="tx1"/>
                  </w14:solidFill>
                </w14:textFill>
              </w:rPr>
              <w:t>标签打印机</w:t>
            </w:r>
          </w:p>
        </w:tc>
        <w:tc>
          <w:tcPr>
            <w:tcW w:w="1665" w:type="dxa"/>
            <w:noWrap w:val="0"/>
            <w:vAlign w:val="center"/>
          </w:tcPr>
          <w:p w14:paraId="35767C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840" w:type="dxa"/>
            <w:noWrap w:val="0"/>
            <w:vAlign w:val="center"/>
          </w:tcPr>
          <w:p w14:paraId="6E5C3C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t>台</w:t>
            </w:r>
          </w:p>
        </w:tc>
        <w:tc>
          <w:tcPr>
            <w:tcW w:w="915" w:type="dxa"/>
            <w:noWrap w:val="0"/>
            <w:vAlign w:val="center"/>
          </w:tcPr>
          <w:p w14:paraId="6C8C19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230" w:type="dxa"/>
            <w:noWrap w:val="0"/>
            <w:vAlign w:val="center"/>
          </w:tcPr>
          <w:p w14:paraId="41A1FA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0" w:type="dxa"/>
            <w:noWrap w:val="0"/>
            <w:vAlign w:val="center"/>
          </w:tcPr>
          <w:p w14:paraId="134D4A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112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6" w:type="dxa"/>
            <w:noWrap w:val="0"/>
            <w:vAlign w:val="center"/>
          </w:tcPr>
          <w:p w14:paraId="189CA57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2185" w:type="dxa"/>
            <w:noWrap w:val="0"/>
            <w:vAlign w:val="center"/>
          </w:tcPr>
          <w:p w14:paraId="53FEE7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Style w:val="33"/>
                <w:rFonts w:hint="eastAsia" w:cs="宋体"/>
                <w:color w:val="000000" w:themeColor="text1"/>
                <w:sz w:val="24"/>
                <w:szCs w:val="24"/>
                <w:highlight w:val="none"/>
                <w:lang w:val="en-US" w:eastAsia="zh-CN" w:bidi="ar"/>
                <w14:textFill>
                  <w14:solidFill>
                    <w14:schemeClr w14:val="tx1"/>
                  </w14:solidFill>
                </w14:textFill>
              </w:rPr>
              <w:t>针式打印机</w:t>
            </w:r>
          </w:p>
        </w:tc>
        <w:tc>
          <w:tcPr>
            <w:tcW w:w="1665" w:type="dxa"/>
            <w:noWrap w:val="0"/>
            <w:vAlign w:val="center"/>
          </w:tcPr>
          <w:p w14:paraId="0C71F58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840" w:type="dxa"/>
            <w:noWrap w:val="0"/>
            <w:vAlign w:val="center"/>
          </w:tcPr>
          <w:p w14:paraId="4F559FC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t>台</w:t>
            </w:r>
          </w:p>
        </w:tc>
        <w:tc>
          <w:tcPr>
            <w:tcW w:w="915" w:type="dxa"/>
            <w:noWrap w:val="0"/>
            <w:vAlign w:val="center"/>
          </w:tcPr>
          <w:p w14:paraId="1BF27A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230" w:type="dxa"/>
            <w:noWrap w:val="0"/>
            <w:vAlign w:val="center"/>
          </w:tcPr>
          <w:p w14:paraId="49B3580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0" w:type="dxa"/>
            <w:noWrap w:val="0"/>
            <w:vAlign w:val="center"/>
          </w:tcPr>
          <w:p w14:paraId="1E43584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776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96" w:type="dxa"/>
            <w:noWrap w:val="0"/>
            <w:vAlign w:val="center"/>
          </w:tcPr>
          <w:p w14:paraId="69F16D1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2185" w:type="dxa"/>
            <w:noWrap w:val="0"/>
            <w:vAlign w:val="center"/>
          </w:tcPr>
          <w:p w14:paraId="7A19F2A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Style w:val="33"/>
                <w:rFonts w:hint="eastAsia" w:cs="宋体"/>
                <w:color w:val="000000" w:themeColor="text1"/>
                <w:sz w:val="24"/>
                <w:szCs w:val="24"/>
                <w:highlight w:val="none"/>
                <w:lang w:val="en-US" w:eastAsia="zh-CN" w:bidi="ar"/>
                <w14:textFill>
                  <w14:solidFill>
                    <w14:schemeClr w14:val="tx1"/>
                  </w14:solidFill>
                </w14:textFill>
              </w:rPr>
              <w:t>彩色喷墨打印机</w:t>
            </w:r>
          </w:p>
        </w:tc>
        <w:tc>
          <w:tcPr>
            <w:tcW w:w="1665" w:type="dxa"/>
            <w:noWrap w:val="0"/>
            <w:vAlign w:val="center"/>
          </w:tcPr>
          <w:p w14:paraId="6C1F2F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840" w:type="dxa"/>
            <w:noWrap w:val="0"/>
            <w:vAlign w:val="center"/>
          </w:tcPr>
          <w:p w14:paraId="3C1400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t>台</w:t>
            </w:r>
          </w:p>
        </w:tc>
        <w:tc>
          <w:tcPr>
            <w:tcW w:w="915" w:type="dxa"/>
            <w:noWrap w:val="0"/>
            <w:vAlign w:val="center"/>
          </w:tcPr>
          <w:p w14:paraId="27F0D58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230" w:type="dxa"/>
            <w:noWrap w:val="0"/>
            <w:vAlign w:val="center"/>
          </w:tcPr>
          <w:p w14:paraId="58E2CC4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0" w:type="dxa"/>
            <w:noWrap w:val="0"/>
            <w:vAlign w:val="center"/>
          </w:tcPr>
          <w:p w14:paraId="443AD99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13F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96" w:type="dxa"/>
            <w:noWrap w:val="0"/>
            <w:vAlign w:val="center"/>
          </w:tcPr>
          <w:p w14:paraId="4314CED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t>5</w:t>
            </w:r>
          </w:p>
        </w:tc>
        <w:tc>
          <w:tcPr>
            <w:tcW w:w="2185" w:type="dxa"/>
            <w:noWrap w:val="0"/>
            <w:vAlign w:val="center"/>
          </w:tcPr>
          <w:p w14:paraId="5D5D5D5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Style w:val="33"/>
                <w:rFonts w:hint="default" w:ascii="宋体" w:hAnsi="宋体" w:eastAsia="宋体" w:cs="宋体"/>
                <w:color w:val="000000" w:themeColor="text1"/>
                <w:sz w:val="24"/>
                <w:szCs w:val="24"/>
                <w:highlight w:val="none"/>
                <w:lang w:val="en-US" w:eastAsia="zh-CN" w:bidi="ar"/>
                <w14:textFill>
                  <w14:solidFill>
                    <w14:schemeClr w14:val="tx1"/>
                  </w14:solidFill>
                </w14:textFill>
              </w:rPr>
            </w:pPr>
            <w:r>
              <w:rPr>
                <w:rStyle w:val="33"/>
                <w:rFonts w:hint="eastAsia" w:cs="宋体"/>
                <w:color w:val="000000" w:themeColor="text1"/>
                <w:sz w:val="24"/>
                <w:szCs w:val="24"/>
                <w:highlight w:val="none"/>
                <w:lang w:val="en-US" w:eastAsia="zh-CN" w:bidi="ar"/>
                <w14:textFill>
                  <w14:solidFill>
                    <w14:schemeClr w14:val="tx1"/>
                  </w14:solidFill>
                </w14:textFill>
              </w:rPr>
              <w:t>扫描枪</w:t>
            </w:r>
          </w:p>
        </w:tc>
        <w:tc>
          <w:tcPr>
            <w:tcW w:w="1665" w:type="dxa"/>
            <w:noWrap w:val="0"/>
            <w:vAlign w:val="center"/>
          </w:tcPr>
          <w:p w14:paraId="29322F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c>
          <w:tcPr>
            <w:tcW w:w="840" w:type="dxa"/>
            <w:noWrap w:val="0"/>
            <w:vAlign w:val="center"/>
          </w:tcPr>
          <w:p w14:paraId="5A27F3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Style w:val="33"/>
                <w:rFonts w:hint="eastAsia" w:cs="宋体"/>
                <w:color w:val="000000" w:themeColor="text1"/>
                <w:sz w:val="24"/>
                <w:szCs w:val="24"/>
                <w:highlight w:val="none"/>
                <w:lang w:val="en-US" w:eastAsia="zh-CN" w:bidi="ar"/>
                <w14:textFill>
                  <w14:solidFill>
                    <w14:schemeClr w14:val="tx1"/>
                  </w14:solidFill>
                </w14:textFill>
              </w:rPr>
              <w:t>个</w:t>
            </w:r>
          </w:p>
        </w:tc>
        <w:tc>
          <w:tcPr>
            <w:tcW w:w="915" w:type="dxa"/>
            <w:noWrap w:val="0"/>
            <w:vAlign w:val="center"/>
          </w:tcPr>
          <w:p w14:paraId="209EF655">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both"/>
              <w:textAlignment w:val="cente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Style w:val="33"/>
                <w:rFonts w:hint="eastAsia" w:cs="宋体"/>
                <w:color w:val="000000" w:themeColor="text1"/>
                <w:sz w:val="24"/>
                <w:szCs w:val="24"/>
                <w:highlight w:val="none"/>
                <w:lang w:val="en-US" w:eastAsia="zh-CN" w:bidi="ar"/>
                <w14:textFill>
                  <w14:solidFill>
                    <w14:schemeClr w14:val="tx1"/>
                  </w14:solidFill>
                </w14:textFill>
              </w:rPr>
              <w:t>8</w:t>
            </w:r>
          </w:p>
        </w:tc>
        <w:tc>
          <w:tcPr>
            <w:tcW w:w="1230" w:type="dxa"/>
            <w:noWrap w:val="0"/>
            <w:vAlign w:val="center"/>
          </w:tcPr>
          <w:p w14:paraId="1D34DA3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c>
          <w:tcPr>
            <w:tcW w:w="1300" w:type="dxa"/>
            <w:noWrap w:val="0"/>
            <w:vAlign w:val="center"/>
          </w:tcPr>
          <w:p w14:paraId="3671022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pPr>
          </w:p>
        </w:tc>
      </w:tr>
      <w:tr w14:paraId="2961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6" w:type="dxa"/>
            <w:noWrap w:val="0"/>
            <w:vAlign w:val="center"/>
          </w:tcPr>
          <w:p w14:paraId="1FCBA6C8">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6</w:t>
            </w:r>
          </w:p>
        </w:tc>
        <w:tc>
          <w:tcPr>
            <w:tcW w:w="2185" w:type="dxa"/>
            <w:noWrap w:val="0"/>
            <w:vAlign w:val="center"/>
          </w:tcPr>
          <w:p w14:paraId="7D51414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串口服务器</w:t>
            </w:r>
          </w:p>
        </w:tc>
        <w:tc>
          <w:tcPr>
            <w:tcW w:w="1665" w:type="dxa"/>
            <w:noWrap w:val="0"/>
            <w:vAlign w:val="center"/>
          </w:tcPr>
          <w:p w14:paraId="75CC894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840" w:type="dxa"/>
            <w:noWrap w:val="0"/>
            <w:vAlign w:val="center"/>
          </w:tcPr>
          <w:p w14:paraId="6C410C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t>台</w:t>
            </w:r>
          </w:p>
        </w:tc>
        <w:tc>
          <w:tcPr>
            <w:tcW w:w="915" w:type="dxa"/>
            <w:noWrap w:val="0"/>
            <w:vAlign w:val="center"/>
          </w:tcPr>
          <w:p w14:paraId="2E1264E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230" w:type="dxa"/>
            <w:noWrap w:val="0"/>
            <w:vAlign w:val="center"/>
          </w:tcPr>
          <w:p w14:paraId="415A812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0" w:type="dxa"/>
            <w:noWrap w:val="0"/>
            <w:vAlign w:val="center"/>
          </w:tcPr>
          <w:p w14:paraId="742776E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E8F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6" w:type="dxa"/>
            <w:noWrap w:val="0"/>
            <w:vAlign w:val="center"/>
          </w:tcPr>
          <w:p w14:paraId="4AF4078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7</w:t>
            </w:r>
          </w:p>
        </w:tc>
        <w:tc>
          <w:tcPr>
            <w:tcW w:w="2185" w:type="dxa"/>
            <w:noWrap w:val="0"/>
            <w:vAlign w:val="center"/>
          </w:tcPr>
          <w:p w14:paraId="272E05F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5口交换机</w:t>
            </w:r>
          </w:p>
        </w:tc>
        <w:tc>
          <w:tcPr>
            <w:tcW w:w="1665" w:type="dxa"/>
            <w:noWrap w:val="0"/>
            <w:vAlign w:val="center"/>
          </w:tcPr>
          <w:p w14:paraId="4D2DA81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840" w:type="dxa"/>
            <w:noWrap w:val="0"/>
            <w:vAlign w:val="center"/>
          </w:tcPr>
          <w:p w14:paraId="212702E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t>台</w:t>
            </w:r>
          </w:p>
        </w:tc>
        <w:tc>
          <w:tcPr>
            <w:tcW w:w="915" w:type="dxa"/>
            <w:noWrap w:val="0"/>
            <w:vAlign w:val="center"/>
          </w:tcPr>
          <w:p w14:paraId="74AC5C2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230" w:type="dxa"/>
            <w:noWrap w:val="0"/>
            <w:vAlign w:val="center"/>
          </w:tcPr>
          <w:p w14:paraId="0E36BB9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0" w:type="dxa"/>
            <w:noWrap w:val="0"/>
            <w:vAlign w:val="center"/>
          </w:tcPr>
          <w:p w14:paraId="0D8064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17FE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6" w:type="dxa"/>
            <w:noWrap w:val="0"/>
            <w:vAlign w:val="center"/>
          </w:tcPr>
          <w:p w14:paraId="58F7168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8</w:t>
            </w:r>
          </w:p>
        </w:tc>
        <w:tc>
          <w:tcPr>
            <w:tcW w:w="2185" w:type="dxa"/>
            <w:noWrap w:val="0"/>
            <w:vAlign w:val="center"/>
          </w:tcPr>
          <w:p w14:paraId="21FD4E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24口交换机</w:t>
            </w:r>
          </w:p>
        </w:tc>
        <w:tc>
          <w:tcPr>
            <w:tcW w:w="1665" w:type="dxa"/>
            <w:noWrap w:val="0"/>
            <w:vAlign w:val="center"/>
          </w:tcPr>
          <w:p w14:paraId="164CD72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840" w:type="dxa"/>
            <w:noWrap w:val="0"/>
            <w:vAlign w:val="center"/>
          </w:tcPr>
          <w:p w14:paraId="1864F4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ascii="宋体" w:hAnsi="宋体" w:eastAsia="宋体" w:cs="宋体"/>
                <w:color w:val="000000" w:themeColor="text1"/>
                <w:sz w:val="24"/>
                <w:szCs w:val="24"/>
                <w:highlight w:val="none"/>
                <w:lang w:val="en-US" w:eastAsia="zh-CN" w:bidi="ar"/>
                <w14:textFill>
                  <w14:solidFill>
                    <w14:schemeClr w14:val="tx1"/>
                  </w14:solidFill>
                </w14:textFill>
              </w:rPr>
              <w:t>台</w:t>
            </w:r>
          </w:p>
        </w:tc>
        <w:tc>
          <w:tcPr>
            <w:tcW w:w="915" w:type="dxa"/>
            <w:noWrap w:val="0"/>
            <w:vAlign w:val="center"/>
          </w:tcPr>
          <w:p w14:paraId="5B72443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cs="宋体"/>
                <w:color w:val="000000" w:themeColor="text1"/>
                <w:sz w:val="24"/>
                <w:szCs w:val="24"/>
                <w:highlight w:val="none"/>
                <w:vertAlign w:val="baseline"/>
                <w:lang w:val="en-US" w:eastAsia="zh-CN"/>
                <w14:textFill>
                  <w14:solidFill>
                    <w14:schemeClr w14:val="tx1"/>
                  </w14:solidFill>
                </w14:textFill>
              </w:rPr>
              <w:t>2</w:t>
            </w:r>
          </w:p>
        </w:tc>
        <w:tc>
          <w:tcPr>
            <w:tcW w:w="1230" w:type="dxa"/>
            <w:noWrap w:val="0"/>
            <w:vAlign w:val="center"/>
          </w:tcPr>
          <w:p w14:paraId="01B3211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0" w:type="dxa"/>
            <w:noWrap w:val="0"/>
            <w:vAlign w:val="center"/>
          </w:tcPr>
          <w:p w14:paraId="103DD2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3EE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6" w:type="dxa"/>
            <w:noWrap w:val="0"/>
            <w:vAlign w:val="center"/>
          </w:tcPr>
          <w:p w14:paraId="1C16E580">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9</w:t>
            </w:r>
          </w:p>
        </w:tc>
        <w:tc>
          <w:tcPr>
            <w:tcW w:w="2185" w:type="dxa"/>
            <w:noWrap w:val="0"/>
            <w:vAlign w:val="center"/>
          </w:tcPr>
          <w:p w14:paraId="2DB329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高温标签纸61*68</w:t>
            </w:r>
          </w:p>
        </w:tc>
        <w:tc>
          <w:tcPr>
            <w:tcW w:w="1665" w:type="dxa"/>
            <w:noWrap w:val="0"/>
            <w:vAlign w:val="center"/>
          </w:tcPr>
          <w:p w14:paraId="1CDF8CB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840" w:type="dxa"/>
            <w:noWrap w:val="0"/>
            <w:vAlign w:val="center"/>
          </w:tcPr>
          <w:p w14:paraId="6FE14DF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cs="宋体"/>
                <w:color w:val="000000" w:themeColor="text1"/>
                <w:sz w:val="24"/>
                <w:szCs w:val="24"/>
                <w:highlight w:val="none"/>
                <w:lang w:val="en-US" w:eastAsia="zh-CN" w:bidi="ar"/>
                <w14:textFill>
                  <w14:solidFill>
                    <w14:schemeClr w14:val="tx1"/>
                  </w14:solidFill>
                </w14:textFill>
              </w:rPr>
              <w:t>卷</w:t>
            </w:r>
          </w:p>
        </w:tc>
        <w:tc>
          <w:tcPr>
            <w:tcW w:w="915" w:type="dxa"/>
            <w:noWrap w:val="0"/>
            <w:vAlign w:val="center"/>
          </w:tcPr>
          <w:p w14:paraId="7AADA94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cs="宋体"/>
                <w:color w:val="000000" w:themeColor="text1"/>
                <w:sz w:val="24"/>
                <w:szCs w:val="24"/>
                <w:highlight w:val="none"/>
                <w:vertAlign w:val="baseline"/>
                <w:lang w:val="en-US" w:eastAsia="zh-CN"/>
                <w14:textFill>
                  <w14:solidFill>
                    <w14:schemeClr w14:val="tx1"/>
                  </w14:solidFill>
                </w14:textFill>
              </w:rPr>
              <w:t>150</w:t>
            </w:r>
          </w:p>
        </w:tc>
        <w:tc>
          <w:tcPr>
            <w:tcW w:w="1230" w:type="dxa"/>
            <w:noWrap w:val="0"/>
            <w:vAlign w:val="center"/>
          </w:tcPr>
          <w:p w14:paraId="3840C04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0" w:type="dxa"/>
            <w:noWrap w:val="0"/>
            <w:vAlign w:val="center"/>
          </w:tcPr>
          <w:p w14:paraId="78B9B9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333C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6" w:type="dxa"/>
            <w:noWrap w:val="0"/>
            <w:vAlign w:val="center"/>
          </w:tcPr>
          <w:p w14:paraId="774E2DDF">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10</w:t>
            </w:r>
          </w:p>
        </w:tc>
        <w:tc>
          <w:tcPr>
            <w:tcW w:w="2185" w:type="dxa"/>
            <w:noWrap w:val="0"/>
            <w:vAlign w:val="center"/>
          </w:tcPr>
          <w:p w14:paraId="2B9C0DE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Style w:val="33"/>
                <w:rFonts w:hint="eastAsia" w:cs="宋体"/>
                <w:color w:val="000000" w:themeColor="text1"/>
                <w:sz w:val="24"/>
                <w:szCs w:val="24"/>
                <w:highlight w:val="none"/>
                <w:lang w:val="en-US" w:eastAsia="zh-CN" w:bidi="ar"/>
                <w14:textFill>
                  <w14:solidFill>
                    <w14:schemeClr w14:val="tx1"/>
                  </w14:solidFill>
                </w14:textFill>
              </w:rPr>
              <w:t>高温标签纸61*34</w:t>
            </w:r>
          </w:p>
        </w:tc>
        <w:tc>
          <w:tcPr>
            <w:tcW w:w="1665" w:type="dxa"/>
            <w:noWrap w:val="0"/>
            <w:vAlign w:val="center"/>
          </w:tcPr>
          <w:p w14:paraId="7C1BC87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840" w:type="dxa"/>
            <w:noWrap w:val="0"/>
            <w:vAlign w:val="center"/>
          </w:tcPr>
          <w:p w14:paraId="728A89D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cs="宋体"/>
                <w:color w:val="000000" w:themeColor="text1"/>
                <w:sz w:val="24"/>
                <w:szCs w:val="24"/>
                <w:highlight w:val="none"/>
                <w:lang w:val="en-US" w:eastAsia="zh-CN" w:bidi="ar"/>
                <w14:textFill>
                  <w14:solidFill>
                    <w14:schemeClr w14:val="tx1"/>
                  </w14:solidFill>
                </w14:textFill>
              </w:rPr>
              <w:t>卷</w:t>
            </w:r>
          </w:p>
        </w:tc>
        <w:tc>
          <w:tcPr>
            <w:tcW w:w="915" w:type="dxa"/>
            <w:noWrap w:val="0"/>
            <w:vAlign w:val="center"/>
          </w:tcPr>
          <w:p w14:paraId="6ECC020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cs="宋体"/>
                <w:color w:val="000000" w:themeColor="text1"/>
                <w:sz w:val="24"/>
                <w:szCs w:val="24"/>
                <w:highlight w:val="none"/>
                <w:vertAlign w:val="baseline"/>
                <w:lang w:val="en-US" w:eastAsia="zh-CN"/>
                <w14:textFill>
                  <w14:solidFill>
                    <w14:schemeClr w14:val="tx1"/>
                  </w14:solidFill>
                </w14:textFill>
              </w:rPr>
              <w:t>200</w:t>
            </w:r>
          </w:p>
        </w:tc>
        <w:tc>
          <w:tcPr>
            <w:tcW w:w="1230" w:type="dxa"/>
            <w:noWrap w:val="0"/>
            <w:vAlign w:val="center"/>
          </w:tcPr>
          <w:p w14:paraId="52FC598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0" w:type="dxa"/>
            <w:noWrap w:val="0"/>
            <w:vAlign w:val="center"/>
          </w:tcPr>
          <w:p w14:paraId="3EB8792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8CC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6" w:type="dxa"/>
            <w:noWrap w:val="0"/>
            <w:vAlign w:val="center"/>
          </w:tcPr>
          <w:p w14:paraId="4439D5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2185" w:type="dxa"/>
            <w:noWrap w:val="0"/>
            <w:vAlign w:val="center"/>
          </w:tcPr>
          <w:p w14:paraId="6A5894B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条码机碳带</w:t>
            </w:r>
          </w:p>
        </w:tc>
        <w:tc>
          <w:tcPr>
            <w:tcW w:w="1665" w:type="dxa"/>
            <w:noWrap w:val="0"/>
            <w:vAlign w:val="center"/>
          </w:tcPr>
          <w:p w14:paraId="6D75075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840" w:type="dxa"/>
            <w:noWrap w:val="0"/>
            <w:vAlign w:val="center"/>
          </w:tcPr>
          <w:p w14:paraId="71AED4B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cs="宋体"/>
                <w:color w:val="000000" w:themeColor="text1"/>
                <w:sz w:val="24"/>
                <w:szCs w:val="24"/>
                <w:highlight w:val="none"/>
                <w:lang w:val="en-US" w:eastAsia="zh-CN" w:bidi="ar"/>
                <w14:textFill>
                  <w14:solidFill>
                    <w14:schemeClr w14:val="tx1"/>
                  </w14:solidFill>
                </w14:textFill>
              </w:rPr>
              <w:t>卷</w:t>
            </w:r>
          </w:p>
        </w:tc>
        <w:tc>
          <w:tcPr>
            <w:tcW w:w="915" w:type="dxa"/>
            <w:noWrap w:val="0"/>
            <w:vAlign w:val="center"/>
          </w:tcPr>
          <w:p w14:paraId="58E32B9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cs="宋体"/>
                <w:color w:val="000000" w:themeColor="text1"/>
                <w:sz w:val="24"/>
                <w:szCs w:val="24"/>
                <w:highlight w:val="none"/>
                <w:vertAlign w:val="baseline"/>
                <w:lang w:val="en-US" w:eastAsia="zh-CN"/>
                <w14:textFill>
                  <w14:solidFill>
                    <w14:schemeClr w14:val="tx1"/>
                  </w14:solidFill>
                </w14:textFill>
              </w:rPr>
              <w:t>50</w:t>
            </w:r>
          </w:p>
        </w:tc>
        <w:tc>
          <w:tcPr>
            <w:tcW w:w="1230" w:type="dxa"/>
            <w:noWrap w:val="0"/>
            <w:vAlign w:val="center"/>
          </w:tcPr>
          <w:p w14:paraId="37C277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0" w:type="dxa"/>
            <w:noWrap w:val="0"/>
            <w:vAlign w:val="center"/>
          </w:tcPr>
          <w:p w14:paraId="4D8C0FE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5A86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6" w:type="dxa"/>
            <w:noWrap w:val="0"/>
            <w:vAlign w:val="center"/>
          </w:tcPr>
          <w:p w14:paraId="15581E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2185" w:type="dxa"/>
            <w:noWrap w:val="0"/>
            <w:vAlign w:val="center"/>
          </w:tcPr>
          <w:p w14:paraId="6741F64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插排</w:t>
            </w:r>
          </w:p>
        </w:tc>
        <w:tc>
          <w:tcPr>
            <w:tcW w:w="1665" w:type="dxa"/>
            <w:noWrap w:val="0"/>
            <w:vAlign w:val="center"/>
          </w:tcPr>
          <w:p w14:paraId="44250BE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840" w:type="dxa"/>
            <w:noWrap w:val="0"/>
            <w:vAlign w:val="center"/>
          </w:tcPr>
          <w:p w14:paraId="416D4F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Style w:val="33"/>
                <w:rFonts w:hint="eastAsia" w:cs="宋体"/>
                <w:color w:val="000000" w:themeColor="text1"/>
                <w:sz w:val="24"/>
                <w:szCs w:val="24"/>
                <w:highlight w:val="none"/>
                <w:lang w:val="en-US" w:eastAsia="zh-CN" w:bidi="ar"/>
                <w14:textFill>
                  <w14:solidFill>
                    <w14:schemeClr w14:val="tx1"/>
                  </w14:solidFill>
                </w14:textFill>
              </w:rPr>
              <w:t>个</w:t>
            </w:r>
          </w:p>
        </w:tc>
        <w:tc>
          <w:tcPr>
            <w:tcW w:w="915" w:type="dxa"/>
            <w:noWrap w:val="0"/>
            <w:vAlign w:val="center"/>
          </w:tcPr>
          <w:p w14:paraId="0A19109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230" w:type="dxa"/>
            <w:noWrap w:val="0"/>
            <w:vAlign w:val="center"/>
          </w:tcPr>
          <w:p w14:paraId="2F50127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0" w:type="dxa"/>
            <w:noWrap w:val="0"/>
            <w:vAlign w:val="center"/>
          </w:tcPr>
          <w:p w14:paraId="3701B02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B0D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6" w:type="dxa"/>
            <w:noWrap w:val="0"/>
            <w:vAlign w:val="center"/>
          </w:tcPr>
          <w:p w14:paraId="4A145DD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2185" w:type="dxa"/>
            <w:noWrap w:val="0"/>
            <w:vAlign w:val="center"/>
          </w:tcPr>
          <w:p w14:paraId="633B201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cs="宋体"/>
                <w:i w:val="0"/>
                <w:iCs w:val="0"/>
                <w:color w:val="000000" w:themeColor="text1"/>
                <w:sz w:val="24"/>
                <w:szCs w:val="24"/>
                <w:highlight w:val="none"/>
                <w:u w:val="none"/>
                <w:lang w:val="en-US" w:eastAsia="zh-CN"/>
                <w14:textFill>
                  <w14:solidFill>
                    <w14:schemeClr w14:val="tx1"/>
                  </w14:solidFill>
                </w14:textFill>
              </w:rPr>
            </w:pPr>
            <w:r>
              <w:rPr>
                <w:rFonts w:hint="eastAsia" w:cs="宋体"/>
                <w:i w:val="0"/>
                <w:iCs w:val="0"/>
                <w:color w:val="000000" w:themeColor="text1"/>
                <w:sz w:val="24"/>
                <w:szCs w:val="24"/>
                <w:highlight w:val="none"/>
                <w:u w:val="none"/>
                <w:lang w:val="en-US" w:eastAsia="zh-CN"/>
                <w14:textFill>
                  <w14:solidFill>
                    <w14:schemeClr w14:val="tx1"/>
                  </w14:solidFill>
                </w14:textFill>
              </w:rPr>
              <w:t>现场施工</w:t>
            </w:r>
          </w:p>
        </w:tc>
        <w:tc>
          <w:tcPr>
            <w:tcW w:w="1665" w:type="dxa"/>
            <w:noWrap w:val="0"/>
            <w:vAlign w:val="center"/>
          </w:tcPr>
          <w:p w14:paraId="11151A3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color w:val="000000" w:themeColor="text1"/>
                <w:sz w:val="24"/>
                <w:szCs w:val="24"/>
                <w:highlight w:val="none"/>
                <w:vertAlign w:val="baseline"/>
                <w14:textFill>
                  <w14:solidFill>
                    <w14:schemeClr w14:val="tx1"/>
                  </w14:solidFill>
                </w14:textFill>
              </w:rPr>
            </w:pPr>
          </w:p>
        </w:tc>
        <w:tc>
          <w:tcPr>
            <w:tcW w:w="840" w:type="dxa"/>
            <w:noWrap w:val="0"/>
            <w:vAlign w:val="center"/>
          </w:tcPr>
          <w:p w14:paraId="6F2494E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Style w:val="33"/>
                <w:rFonts w:hint="default" w:cs="宋体"/>
                <w:color w:val="000000" w:themeColor="text1"/>
                <w:sz w:val="24"/>
                <w:szCs w:val="24"/>
                <w:highlight w:val="none"/>
                <w:lang w:val="en-US" w:eastAsia="zh-CN" w:bidi="ar"/>
                <w14:textFill>
                  <w14:solidFill>
                    <w14:schemeClr w14:val="tx1"/>
                  </w14:solidFill>
                </w14:textFill>
              </w:rPr>
            </w:pPr>
            <w:r>
              <w:rPr>
                <w:rStyle w:val="33"/>
                <w:rFonts w:hint="eastAsia" w:cs="宋体"/>
                <w:color w:val="000000" w:themeColor="text1"/>
                <w:sz w:val="24"/>
                <w:szCs w:val="24"/>
                <w:highlight w:val="none"/>
                <w:lang w:val="en-US" w:eastAsia="zh-CN" w:bidi="ar"/>
                <w14:textFill>
                  <w14:solidFill>
                    <w14:schemeClr w14:val="tx1"/>
                  </w14:solidFill>
                </w14:textFill>
              </w:rPr>
              <w:t>次</w:t>
            </w:r>
          </w:p>
        </w:tc>
        <w:tc>
          <w:tcPr>
            <w:tcW w:w="915" w:type="dxa"/>
            <w:noWrap w:val="0"/>
            <w:vAlign w:val="center"/>
          </w:tcPr>
          <w:p w14:paraId="13433C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230" w:type="dxa"/>
            <w:noWrap w:val="0"/>
            <w:vAlign w:val="center"/>
          </w:tcPr>
          <w:p w14:paraId="0529E82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300" w:type="dxa"/>
            <w:noWrap w:val="0"/>
            <w:vAlign w:val="center"/>
          </w:tcPr>
          <w:p w14:paraId="164DDBC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79A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6" w:type="dxa"/>
            <w:noWrap w:val="0"/>
            <w:vAlign w:val="center"/>
          </w:tcPr>
          <w:p w14:paraId="6FADF1C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r>
              <w:rPr>
                <w:rFonts w:hint="eastAsia"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6835" w:type="dxa"/>
            <w:gridSpan w:val="5"/>
            <w:noWrap w:val="0"/>
            <w:vAlign w:val="center"/>
          </w:tcPr>
          <w:p w14:paraId="5812421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合计</w:t>
            </w:r>
          </w:p>
        </w:tc>
        <w:tc>
          <w:tcPr>
            <w:tcW w:w="1300" w:type="dxa"/>
            <w:noWrap w:val="0"/>
            <w:vAlign w:val="center"/>
          </w:tcPr>
          <w:p w14:paraId="0751EC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bl>
    <w:p w14:paraId="065613FA">
      <w:pPr>
        <w:ind w:left="0" w:leftChars="0" w:firstLine="0" w:firstLineChars="0"/>
        <w:rPr>
          <w:rFonts w:hint="eastAsia" w:ascii="宋体" w:hAnsi="宋体" w:eastAsia="宋体" w:cs="宋体"/>
        </w:rPr>
      </w:pPr>
    </w:p>
    <w:p w14:paraId="05723BBD">
      <w:pPr>
        <w:spacing w:line="360" w:lineRule="auto"/>
        <w:ind w:firstLine="480" w:firstLineChars="200"/>
        <w:rPr>
          <w:rFonts w:hint="eastAsia" w:ascii="宋体" w:hAnsi="宋体" w:eastAsia="宋体" w:cs="宋体"/>
          <w:sz w:val="24"/>
          <w:szCs w:val="20"/>
          <w:u w:val="single"/>
        </w:rPr>
      </w:pPr>
      <w:r>
        <w:rPr>
          <w:rFonts w:hint="eastAsia" w:ascii="宋体" w:hAnsi="宋体" w:eastAsia="宋体" w:cs="宋体"/>
          <w:sz w:val="24"/>
          <w:szCs w:val="20"/>
        </w:rPr>
        <w:t>响应人：</w:t>
      </w:r>
      <w:r>
        <w:rPr>
          <w:rFonts w:hint="eastAsia" w:ascii="宋体" w:hAnsi="宋体" w:eastAsia="宋体" w:cs="宋体"/>
          <w:sz w:val="24"/>
          <w:szCs w:val="20"/>
          <w:u w:val="single"/>
        </w:rPr>
        <w:t xml:space="preserve">_________________________ </w:t>
      </w:r>
      <w:r>
        <w:rPr>
          <w:rFonts w:hint="eastAsia" w:ascii="宋体" w:hAnsi="宋体" w:eastAsia="宋体" w:cs="宋体"/>
          <w:sz w:val="24"/>
          <w:szCs w:val="20"/>
        </w:rPr>
        <w:t xml:space="preserve"> （盖单位公章）</w:t>
      </w:r>
    </w:p>
    <w:p w14:paraId="52D9EA59">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0"/>
        </w:rPr>
        <w:t>法人代表或其委托代理人</w:t>
      </w:r>
      <w:r>
        <w:rPr>
          <w:rFonts w:hint="eastAsia" w:ascii="宋体" w:hAnsi="宋体" w:eastAsia="宋体" w:cs="宋体"/>
          <w:sz w:val="24"/>
          <w:szCs w:val="22"/>
        </w:rPr>
        <w:t>：</w:t>
      </w:r>
      <w:r>
        <w:rPr>
          <w:rFonts w:hint="eastAsia" w:ascii="宋体" w:hAnsi="宋体" w:eastAsia="宋体" w:cs="宋体"/>
          <w:sz w:val="24"/>
          <w:szCs w:val="20"/>
          <w:u w:val="single"/>
        </w:rPr>
        <w:t>___________________</w:t>
      </w:r>
      <w:r>
        <w:rPr>
          <w:rFonts w:hint="eastAsia" w:ascii="宋体" w:hAnsi="宋体" w:eastAsia="宋体" w:cs="宋体"/>
          <w:sz w:val="24"/>
          <w:szCs w:val="20"/>
        </w:rPr>
        <w:t>（签字或盖章）</w:t>
      </w:r>
    </w:p>
    <w:p w14:paraId="37BA906E">
      <w:pPr>
        <w:spacing w:line="360" w:lineRule="auto"/>
        <w:ind w:firstLine="480" w:firstLineChars="200"/>
        <w:rPr>
          <w:rFonts w:hint="eastAsia" w:ascii="宋体" w:hAnsi="宋体" w:eastAsia="宋体" w:cs="宋体"/>
        </w:rPr>
      </w:pPr>
      <w:r>
        <w:rPr>
          <w:rFonts w:hint="eastAsia" w:ascii="宋体" w:hAnsi="宋体" w:eastAsia="宋体" w:cs="宋体"/>
          <w:sz w:val="24"/>
          <w:szCs w:val="22"/>
        </w:rPr>
        <w:t>日 期：</w:t>
      </w:r>
      <w:r>
        <w:rPr>
          <w:rFonts w:hint="eastAsia" w:ascii="宋体" w:hAnsi="宋体" w:eastAsia="宋体" w:cs="宋体"/>
          <w:sz w:val="24"/>
          <w:szCs w:val="22"/>
          <w:u w:val="single"/>
        </w:rPr>
        <w:t>______</w:t>
      </w:r>
      <w:r>
        <w:rPr>
          <w:rFonts w:hint="eastAsia" w:ascii="宋体" w:hAnsi="宋体" w:eastAsia="宋体" w:cs="宋体"/>
          <w:sz w:val="24"/>
          <w:szCs w:val="22"/>
        </w:rPr>
        <w:t>年</w:t>
      </w:r>
      <w:r>
        <w:rPr>
          <w:rFonts w:hint="eastAsia" w:ascii="宋体" w:hAnsi="宋体" w:eastAsia="宋体" w:cs="宋体"/>
          <w:sz w:val="24"/>
          <w:szCs w:val="22"/>
          <w:u w:val="single"/>
        </w:rPr>
        <w:t>_____</w:t>
      </w:r>
      <w:r>
        <w:rPr>
          <w:rFonts w:hint="eastAsia" w:ascii="宋体" w:hAnsi="宋体" w:eastAsia="宋体" w:cs="宋体"/>
          <w:sz w:val="24"/>
          <w:szCs w:val="22"/>
        </w:rPr>
        <w:t>月</w:t>
      </w:r>
      <w:r>
        <w:rPr>
          <w:rFonts w:hint="eastAsia" w:ascii="宋体" w:hAnsi="宋体" w:eastAsia="宋体" w:cs="宋体"/>
          <w:sz w:val="24"/>
          <w:szCs w:val="22"/>
          <w:u w:val="single"/>
        </w:rPr>
        <w:t>_____</w:t>
      </w:r>
      <w:r>
        <w:rPr>
          <w:rFonts w:hint="eastAsia" w:ascii="宋体" w:hAnsi="宋体" w:eastAsia="宋体" w:cs="宋体"/>
          <w:sz w:val="24"/>
          <w:szCs w:val="22"/>
        </w:rPr>
        <w:t>日</w:t>
      </w:r>
    </w:p>
    <w:p w14:paraId="5E0D9C38">
      <w:pPr>
        <w:rPr>
          <w:rFonts w:hint="eastAsia" w:ascii="宋体" w:hAnsi="宋体" w:eastAsia="宋体" w:cs="宋体"/>
        </w:rPr>
      </w:pPr>
      <w:r>
        <w:rPr>
          <w:rFonts w:hint="eastAsia" w:ascii="宋体" w:hAnsi="宋体" w:eastAsia="宋体" w:cs="宋体"/>
        </w:rPr>
        <w:br w:type="page"/>
      </w:r>
    </w:p>
    <w:p w14:paraId="672FFB4D">
      <w:pPr>
        <w:pStyle w:val="4"/>
        <w:bidi w:val="0"/>
        <w:rPr>
          <w:rFonts w:hint="eastAsia"/>
        </w:rPr>
      </w:pPr>
      <w:bookmarkStart w:id="316" w:name="_Toc5479"/>
      <w:r>
        <w:rPr>
          <w:rFonts w:hint="eastAsia"/>
        </w:rPr>
        <w:t>三、响应人承诺书</w:t>
      </w:r>
      <w:bookmarkEnd w:id="312"/>
      <w:bookmarkEnd w:id="313"/>
      <w:bookmarkEnd w:id="314"/>
      <w:bookmarkEnd w:id="316"/>
    </w:p>
    <w:p w14:paraId="74ED74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u w:val="single"/>
        </w:rPr>
        <w:t xml:space="preserve">             </w:t>
      </w:r>
      <w:r>
        <w:rPr>
          <w:rFonts w:hint="eastAsia" w:ascii="宋体" w:hAnsi="宋体" w:eastAsia="宋体" w:cs="宋体"/>
          <w:sz w:val="24"/>
          <w:szCs w:val="20"/>
        </w:rPr>
        <w:t>（采购人名称）：</w:t>
      </w:r>
    </w:p>
    <w:p w14:paraId="0BDC6A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我方在此声明，我方以下事项进行承诺：</w:t>
      </w:r>
    </w:p>
    <w:p w14:paraId="1F0CCA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bookmarkStart w:id="317" w:name="_Toc457238178"/>
      <w:bookmarkStart w:id="318" w:name="_Toc456772446"/>
      <w:bookmarkStart w:id="319" w:name="_Toc456379038"/>
      <w:bookmarkStart w:id="320" w:name="_Toc394933439"/>
      <w:bookmarkStart w:id="321" w:name="_Toc403581241"/>
      <w:bookmarkStart w:id="322" w:name="_Toc477364557"/>
      <w:bookmarkStart w:id="323" w:name="_Toc454991117"/>
      <w:bookmarkStart w:id="324" w:name="_Toc456810567"/>
      <w:bookmarkStart w:id="325" w:name="_Toc456619847"/>
      <w:bookmarkStart w:id="326" w:name="_Toc456811234"/>
      <w:r>
        <w:rPr>
          <w:rFonts w:hint="eastAsia" w:ascii="宋体" w:hAnsi="宋体" w:eastAsia="宋体" w:cs="宋体"/>
          <w:sz w:val="24"/>
          <w:szCs w:val="22"/>
        </w:rPr>
        <w:t>（1）在本次磋商中我方无与其他响应人相互串通磋商，或与采购人串通磋商的行为；</w:t>
      </w:r>
      <w:bookmarkEnd w:id="317"/>
      <w:bookmarkEnd w:id="318"/>
      <w:bookmarkEnd w:id="319"/>
      <w:bookmarkEnd w:id="320"/>
      <w:bookmarkEnd w:id="321"/>
      <w:bookmarkEnd w:id="322"/>
      <w:bookmarkEnd w:id="323"/>
      <w:bookmarkEnd w:id="324"/>
      <w:bookmarkEnd w:id="325"/>
      <w:bookmarkEnd w:id="326"/>
    </w:p>
    <w:p w14:paraId="67768E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（2）在本次磋商中我方无向采购人或评标委员会成员行贿的手段谋取成交的行为；</w:t>
      </w:r>
    </w:p>
    <w:p w14:paraId="4F5752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（3）在本次磋商中我方无出借或借用资质行为、在响应文件中所附资料（资质、业绩、人员资料等）无弄虚作假；</w:t>
      </w:r>
    </w:p>
    <w:p w14:paraId="07D5CC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（4）我方不采用非法手段获取证据进行投诉，在投诉过程中不提供虚假情况或进行恶意投诉；</w:t>
      </w:r>
    </w:p>
    <w:p w14:paraId="6513F6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（5）我方承诺具有独立承担民事责任的能力和履行合同所必需的设备和专业的技术力量、良好的企业信誉及完善的售后服务体系。</w:t>
      </w:r>
    </w:p>
    <w:p w14:paraId="5AEC42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上述承诺内容如有不实</w:t>
      </w:r>
      <w:r>
        <w:rPr>
          <w:rFonts w:hint="eastAsia" w:ascii="宋体" w:hAnsi="宋体" w:eastAsia="宋体" w:cs="宋体"/>
          <w:sz w:val="24"/>
          <w:szCs w:val="22"/>
        </w:rPr>
        <w:t>或违反上述承诺</w:t>
      </w:r>
      <w:r>
        <w:rPr>
          <w:rFonts w:hint="eastAsia" w:ascii="宋体" w:hAnsi="宋体" w:eastAsia="宋体" w:cs="宋体"/>
          <w:sz w:val="24"/>
          <w:szCs w:val="20"/>
        </w:rPr>
        <w:t>，我方愿意承担由此造成的一切法律责任，并承诺以磋商保证金作为违约金支付给采购人。</w:t>
      </w:r>
    </w:p>
    <w:p w14:paraId="5D4F03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特此承诺</w:t>
      </w:r>
    </w:p>
    <w:p w14:paraId="77FEAB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p>
    <w:p w14:paraId="200545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p>
    <w:p w14:paraId="3A574D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p>
    <w:p w14:paraId="605588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响 应 人：</w:t>
      </w:r>
      <w:r>
        <w:rPr>
          <w:rFonts w:hint="eastAsia" w:ascii="宋体" w:hAnsi="宋体" w:eastAsia="宋体" w:cs="宋体"/>
          <w:sz w:val="24"/>
          <w:szCs w:val="20"/>
          <w:u w:val="single"/>
        </w:rPr>
        <w:t xml:space="preserve">                      </w:t>
      </w:r>
      <w:r>
        <w:rPr>
          <w:rFonts w:hint="eastAsia" w:ascii="宋体" w:hAnsi="宋体" w:eastAsia="宋体" w:cs="宋体"/>
          <w:sz w:val="24"/>
          <w:szCs w:val="20"/>
        </w:rPr>
        <w:t>（盖单位公章）</w:t>
      </w:r>
    </w:p>
    <w:p w14:paraId="58ACD1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法定代表人或其委托代理人：</w:t>
      </w:r>
      <w:r>
        <w:rPr>
          <w:rFonts w:hint="eastAsia" w:ascii="宋体" w:hAnsi="宋体" w:eastAsia="宋体" w:cs="宋体"/>
          <w:sz w:val="24"/>
          <w:szCs w:val="20"/>
          <w:u w:val="single"/>
        </w:rPr>
        <w:t xml:space="preserve">      </w:t>
      </w:r>
      <w:r>
        <w:rPr>
          <w:rFonts w:hint="eastAsia" w:ascii="宋体" w:hAnsi="宋体" w:eastAsia="宋体" w:cs="宋体"/>
          <w:sz w:val="24"/>
          <w:szCs w:val="20"/>
        </w:rPr>
        <w:t>（签字或盖章）</w:t>
      </w:r>
    </w:p>
    <w:p w14:paraId="6B01BF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0"/>
        </w:rPr>
      </w:pP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14:paraId="29B10632">
      <w:pPr>
        <w:rPr>
          <w:rFonts w:hint="eastAsia" w:ascii="宋体" w:hAnsi="宋体" w:eastAsia="宋体" w:cs="宋体"/>
          <w:sz w:val="24"/>
          <w:szCs w:val="20"/>
        </w:rPr>
      </w:pPr>
      <w:r>
        <w:rPr>
          <w:rFonts w:hint="eastAsia" w:ascii="宋体" w:hAnsi="宋体" w:eastAsia="宋体" w:cs="宋体"/>
          <w:sz w:val="24"/>
          <w:szCs w:val="20"/>
        </w:rPr>
        <w:br w:type="page"/>
      </w:r>
    </w:p>
    <w:p w14:paraId="4F302050">
      <w:pPr>
        <w:pStyle w:val="4"/>
        <w:numPr>
          <w:ilvl w:val="0"/>
          <w:numId w:val="3"/>
        </w:numPr>
        <w:bidi w:val="0"/>
        <w:rPr>
          <w:rFonts w:hint="eastAsia"/>
        </w:rPr>
      </w:pPr>
      <w:bookmarkStart w:id="327" w:name="_Toc495424176"/>
      <w:bookmarkStart w:id="328" w:name="_Toc484089001"/>
      <w:bookmarkStart w:id="329" w:name="_Toc477856367"/>
      <w:bookmarkStart w:id="330" w:name="_Toc495425115"/>
      <w:bookmarkStart w:id="331" w:name="_Toc495424909"/>
      <w:bookmarkStart w:id="332" w:name="_Toc6892"/>
      <w:r>
        <w:rPr>
          <w:rFonts w:hint="eastAsia"/>
        </w:rPr>
        <w:t>法定代表人身份证明</w:t>
      </w:r>
      <w:bookmarkEnd w:id="327"/>
      <w:bookmarkEnd w:id="328"/>
      <w:bookmarkEnd w:id="329"/>
      <w:bookmarkEnd w:id="330"/>
      <w:bookmarkEnd w:id="331"/>
      <w:bookmarkEnd w:id="332"/>
    </w:p>
    <w:p w14:paraId="2BDBBA94">
      <w:pPr>
        <w:numPr>
          <w:ilvl w:val="0"/>
          <w:numId w:val="0"/>
        </w:numPr>
        <w:rPr>
          <w:rFonts w:hint="eastAsia"/>
        </w:rPr>
      </w:pPr>
    </w:p>
    <w:p w14:paraId="20BACC34">
      <w:pPr>
        <w:spacing w:line="440" w:lineRule="exact"/>
        <w:ind w:firstLine="240" w:firstLineChars="100"/>
        <w:rPr>
          <w:rFonts w:hint="eastAsia"/>
        </w:rPr>
      </w:pPr>
      <w:r>
        <w:rPr>
          <w:rFonts w:hint="eastAsia" w:ascii="宋体" w:hAnsi="宋体" w:eastAsia="宋体" w:cs="宋体"/>
          <w:sz w:val="24"/>
          <w:szCs w:val="20"/>
        </w:rPr>
        <w:t>响应人名称：</w:t>
      </w:r>
      <w:r>
        <w:rPr>
          <w:rFonts w:hint="eastAsia" w:ascii="宋体" w:hAnsi="宋体" w:eastAsia="宋体" w:cs="宋体"/>
          <w:sz w:val="24"/>
          <w:szCs w:val="20"/>
          <w:u w:val="single"/>
        </w:rPr>
        <w:t xml:space="preserve">                            </w:t>
      </w:r>
      <w:r>
        <w:rPr>
          <w:rFonts w:hint="eastAsia" w:ascii="宋体" w:hAnsi="宋体" w:eastAsia="宋体" w:cs="宋体"/>
          <w:sz w:val="24"/>
          <w:szCs w:val="20"/>
        </w:rPr>
        <w:t xml:space="preserve"> </w:t>
      </w:r>
    </w:p>
    <w:p w14:paraId="07DBDC97">
      <w:pPr>
        <w:spacing w:line="440" w:lineRule="exact"/>
        <w:ind w:firstLine="240" w:firstLineChars="100"/>
        <w:rPr>
          <w:rFonts w:hint="eastAsia"/>
        </w:rPr>
      </w:pPr>
      <w:r>
        <w:rPr>
          <w:rFonts w:hint="eastAsia" w:ascii="宋体" w:hAnsi="宋体" w:eastAsia="宋体" w:cs="宋体"/>
          <w:sz w:val="24"/>
          <w:szCs w:val="20"/>
        </w:rPr>
        <w:t>单位性质：</w:t>
      </w:r>
      <w:r>
        <w:rPr>
          <w:rFonts w:hint="eastAsia" w:ascii="宋体" w:hAnsi="宋体" w:eastAsia="宋体" w:cs="宋体"/>
          <w:sz w:val="24"/>
          <w:szCs w:val="20"/>
          <w:u w:val="single"/>
        </w:rPr>
        <w:t xml:space="preserve">                               </w:t>
      </w:r>
      <w:r>
        <w:rPr>
          <w:rFonts w:hint="eastAsia" w:ascii="宋体" w:hAnsi="宋体" w:eastAsia="宋体" w:cs="宋体"/>
          <w:sz w:val="24"/>
          <w:szCs w:val="20"/>
        </w:rPr>
        <w:t xml:space="preserve"> </w:t>
      </w:r>
    </w:p>
    <w:p w14:paraId="053EB5CB">
      <w:pPr>
        <w:spacing w:line="440" w:lineRule="exact"/>
        <w:ind w:firstLine="240" w:firstLineChars="100"/>
        <w:rPr>
          <w:rFonts w:hint="eastAsia" w:ascii="宋体" w:hAnsi="宋体" w:eastAsia="宋体" w:cs="宋体"/>
          <w:sz w:val="24"/>
          <w:szCs w:val="20"/>
        </w:rPr>
      </w:pPr>
      <w:r>
        <w:rPr>
          <w:rFonts w:hint="eastAsia" w:ascii="宋体" w:hAnsi="宋体" w:eastAsia="宋体" w:cs="宋体"/>
          <w:sz w:val="24"/>
          <w:szCs w:val="20"/>
        </w:rPr>
        <w:t>地址：</w:t>
      </w:r>
      <w:r>
        <w:rPr>
          <w:rFonts w:hint="eastAsia" w:ascii="宋体" w:hAnsi="宋体" w:eastAsia="宋体" w:cs="宋体"/>
          <w:sz w:val="24"/>
          <w:szCs w:val="20"/>
          <w:u w:val="single"/>
        </w:rPr>
        <w:t xml:space="preserve">                                   </w:t>
      </w:r>
    </w:p>
    <w:p w14:paraId="7FE08A9A">
      <w:pPr>
        <w:spacing w:line="440" w:lineRule="exact"/>
        <w:ind w:firstLine="240" w:firstLineChars="100"/>
        <w:rPr>
          <w:rFonts w:hint="eastAsia" w:ascii="宋体" w:hAnsi="宋体" w:eastAsia="宋体" w:cs="宋体"/>
          <w:sz w:val="24"/>
          <w:szCs w:val="20"/>
        </w:rPr>
      </w:pPr>
      <w:r>
        <w:rPr>
          <w:rFonts w:hint="eastAsia" w:ascii="宋体" w:hAnsi="宋体" w:eastAsia="宋体" w:cs="宋体"/>
          <w:sz w:val="24"/>
          <w:szCs w:val="20"/>
        </w:rPr>
        <w:t>成立时间：</w:t>
      </w:r>
      <w:r>
        <w:rPr>
          <w:rFonts w:hint="eastAsia" w:ascii="宋体" w:hAnsi="宋体" w:eastAsia="宋体" w:cs="宋体"/>
          <w:sz w:val="24"/>
          <w:szCs w:val="20"/>
          <w:u w:val="single"/>
        </w:rPr>
        <w:t xml:space="preserve">         </w:t>
      </w:r>
      <w:r>
        <w:rPr>
          <w:rFonts w:hint="eastAsia" w:ascii="宋体" w:hAnsi="宋体" w:eastAsia="宋体" w:cs="宋体"/>
          <w:sz w:val="24"/>
          <w:szCs w:val="20"/>
        </w:rPr>
        <w:t xml:space="preserve"> 年</w:t>
      </w:r>
      <w:r>
        <w:rPr>
          <w:rFonts w:hint="eastAsia" w:ascii="宋体" w:hAnsi="宋体" w:eastAsia="宋体" w:cs="宋体"/>
          <w:sz w:val="24"/>
          <w:szCs w:val="20"/>
          <w:u w:val="single"/>
        </w:rPr>
        <w:t xml:space="preserve">       </w:t>
      </w:r>
      <w:r>
        <w:rPr>
          <w:rFonts w:hint="eastAsia" w:ascii="宋体" w:hAnsi="宋体" w:eastAsia="宋体" w:cs="宋体"/>
          <w:sz w:val="24"/>
          <w:szCs w:val="20"/>
        </w:rPr>
        <w:t xml:space="preserve"> 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14:paraId="447E2E43">
      <w:pPr>
        <w:spacing w:line="440" w:lineRule="exact"/>
        <w:ind w:firstLine="240" w:firstLineChars="100"/>
        <w:rPr>
          <w:rFonts w:hint="eastAsia" w:ascii="宋体" w:hAnsi="宋体" w:eastAsia="宋体" w:cs="宋体"/>
          <w:sz w:val="24"/>
          <w:szCs w:val="20"/>
        </w:rPr>
      </w:pPr>
      <w:r>
        <w:rPr>
          <w:rFonts w:hint="eastAsia" w:ascii="宋体" w:hAnsi="宋体" w:eastAsia="宋体" w:cs="宋体"/>
          <w:sz w:val="24"/>
          <w:szCs w:val="20"/>
        </w:rPr>
        <w:t>经营期限：</w:t>
      </w:r>
      <w:r>
        <w:rPr>
          <w:rFonts w:hint="eastAsia" w:ascii="宋体" w:hAnsi="宋体" w:eastAsia="宋体" w:cs="宋体"/>
          <w:sz w:val="24"/>
          <w:szCs w:val="20"/>
          <w:u w:val="single"/>
        </w:rPr>
        <w:t xml:space="preserve">                               </w:t>
      </w:r>
    </w:p>
    <w:p w14:paraId="5F58DDB4">
      <w:pPr>
        <w:spacing w:line="440" w:lineRule="exact"/>
        <w:ind w:firstLine="240" w:firstLineChars="100"/>
        <w:rPr>
          <w:rFonts w:hint="eastAsia" w:ascii="宋体" w:hAnsi="宋体" w:eastAsia="宋体" w:cs="宋体"/>
          <w:sz w:val="24"/>
          <w:szCs w:val="20"/>
        </w:rPr>
      </w:pPr>
      <w:r>
        <w:rPr>
          <w:rFonts w:hint="eastAsia" w:ascii="宋体" w:hAnsi="宋体" w:eastAsia="宋体" w:cs="宋体"/>
          <w:sz w:val="24"/>
          <w:szCs w:val="20"/>
        </w:rPr>
        <w:t>姓名：</w:t>
      </w:r>
      <w:r>
        <w:rPr>
          <w:rFonts w:hint="eastAsia" w:ascii="宋体" w:hAnsi="宋体" w:eastAsia="宋体" w:cs="宋体"/>
          <w:sz w:val="24"/>
          <w:szCs w:val="20"/>
          <w:u w:val="single"/>
        </w:rPr>
        <w:t xml:space="preserve">        </w:t>
      </w:r>
      <w:r>
        <w:rPr>
          <w:rFonts w:hint="eastAsia" w:ascii="宋体" w:hAnsi="宋体" w:eastAsia="宋体" w:cs="宋体"/>
          <w:sz w:val="24"/>
          <w:szCs w:val="20"/>
        </w:rPr>
        <w:t xml:space="preserve"> 性别：</w:t>
      </w:r>
      <w:r>
        <w:rPr>
          <w:rFonts w:hint="eastAsia" w:ascii="宋体" w:hAnsi="宋体" w:eastAsia="宋体" w:cs="宋体"/>
          <w:sz w:val="24"/>
          <w:szCs w:val="20"/>
          <w:u w:val="single"/>
        </w:rPr>
        <w:t xml:space="preserve">         </w:t>
      </w:r>
      <w:r>
        <w:rPr>
          <w:rFonts w:hint="eastAsia" w:ascii="宋体" w:hAnsi="宋体" w:eastAsia="宋体" w:cs="宋体"/>
          <w:sz w:val="24"/>
          <w:szCs w:val="20"/>
        </w:rPr>
        <w:t xml:space="preserve"> 年龄：</w:t>
      </w:r>
      <w:r>
        <w:rPr>
          <w:rFonts w:hint="eastAsia" w:ascii="宋体" w:hAnsi="宋体" w:eastAsia="宋体" w:cs="宋体"/>
          <w:sz w:val="24"/>
          <w:szCs w:val="20"/>
          <w:u w:val="single"/>
        </w:rPr>
        <w:t xml:space="preserve">        </w:t>
      </w:r>
      <w:r>
        <w:rPr>
          <w:rFonts w:hint="eastAsia" w:ascii="宋体" w:hAnsi="宋体" w:eastAsia="宋体" w:cs="宋体"/>
          <w:sz w:val="24"/>
          <w:szCs w:val="20"/>
        </w:rPr>
        <w:t>职务：</w:t>
      </w:r>
      <w:r>
        <w:rPr>
          <w:rFonts w:hint="eastAsia" w:ascii="宋体" w:hAnsi="宋体" w:eastAsia="宋体" w:cs="宋体"/>
          <w:sz w:val="24"/>
          <w:szCs w:val="20"/>
          <w:u w:val="single"/>
        </w:rPr>
        <w:t xml:space="preserve">        </w:t>
      </w:r>
    </w:p>
    <w:p w14:paraId="12E17EA2">
      <w:pPr>
        <w:spacing w:line="440" w:lineRule="exact"/>
        <w:ind w:firstLine="240" w:firstLineChars="100"/>
        <w:rPr>
          <w:rFonts w:hint="eastAsia" w:ascii="宋体" w:hAnsi="宋体" w:eastAsia="宋体" w:cs="宋体"/>
          <w:sz w:val="24"/>
          <w:szCs w:val="20"/>
        </w:rPr>
      </w:pPr>
      <w:r>
        <w:rPr>
          <w:rFonts w:hint="eastAsia" w:ascii="宋体" w:hAnsi="宋体" w:eastAsia="宋体" w:cs="宋体"/>
          <w:sz w:val="24"/>
          <w:szCs w:val="20"/>
        </w:rPr>
        <w:t>系</w:t>
      </w:r>
      <w:r>
        <w:rPr>
          <w:rFonts w:hint="eastAsia" w:ascii="宋体" w:hAnsi="宋体" w:eastAsia="宋体" w:cs="宋体"/>
          <w:sz w:val="24"/>
          <w:szCs w:val="20"/>
          <w:u w:val="single"/>
        </w:rPr>
        <w:t xml:space="preserve">                             </w:t>
      </w:r>
      <w:r>
        <w:rPr>
          <w:rFonts w:hint="eastAsia" w:ascii="宋体" w:hAnsi="宋体" w:eastAsia="宋体" w:cs="宋体"/>
          <w:sz w:val="24"/>
          <w:szCs w:val="20"/>
        </w:rPr>
        <w:t xml:space="preserve"> （响应人名称）的法定代表人。</w:t>
      </w:r>
    </w:p>
    <w:p w14:paraId="2D8CA9D1">
      <w:pPr>
        <w:spacing w:line="44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特此证明。</w:t>
      </w:r>
    </w:p>
    <w:p w14:paraId="29145E3D">
      <w:pPr>
        <w:bidi w:val="0"/>
        <w:rPr>
          <w:rFonts w:hint="eastAsia"/>
        </w:rPr>
      </w:pPr>
    </w:p>
    <w:p w14:paraId="3FE915DF">
      <w:pPr>
        <w:bidi w:val="0"/>
        <w:rPr>
          <w:rFonts w:hint="eastAsia"/>
        </w:rPr>
      </w:pPr>
    </w:p>
    <w:p w14:paraId="74E1FBA8">
      <w:pPr>
        <w:bidi w:val="0"/>
        <w:rPr>
          <w:rFonts w:hint="eastAsia"/>
        </w:rPr>
      </w:pPr>
    </w:p>
    <w:p w14:paraId="063C870A">
      <w:pPr>
        <w:spacing w:line="440" w:lineRule="exact"/>
        <w:jc w:val="right"/>
        <w:rPr>
          <w:rFonts w:hint="eastAsia" w:ascii="宋体" w:hAnsi="宋体" w:eastAsia="宋体" w:cs="宋体"/>
          <w:sz w:val="24"/>
          <w:szCs w:val="20"/>
        </w:rPr>
      </w:pPr>
      <w:r>
        <w:rPr>
          <w:rFonts w:hint="eastAsia" w:ascii="宋体" w:hAnsi="宋体" w:eastAsia="宋体" w:cs="宋体"/>
          <w:sz w:val="24"/>
          <w:szCs w:val="20"/>
        </w:rPr>
        <w:t>响应人：</w:t>
      </w:r>
      <w:r>
        <w:rPr>
          <w:rFonts w:hint="eastAsia" w:ascii="宋体" w:hAnsi="宋体" w:eastAsia="宋体" w:cs="宋体"/>
          <w:sz w:val="24"/>
          <w:szCs w:val="20"/>
          <w:u w:val="single"/>
        </w:rPr>
        <w:t xml:space="preserve">                 </w:t>
      </w:r>
      <w:r>
        <w:rPr>
          <w:rFonts w:hint="eastAsia" w:ascii="宋体" w:hAnsi="宋体" w:eastAsia="宋体" w:cs="宋体"/>
          <w:sz w:val="24"/>
          <w:szCs w:val="20"/>
        </w:rPr>
        <w:t>（盖单位公章）</w:t>
      </w:r>
    </w:p>
    <w:p w14:paraId="4089C0E7">
      <w:pPr>
        <w:spacing w:line="440" w:lineRule="exact"/>
        <w:jc w:val="right"/>
        <w:rPr>
          <w:rFonts w:hint="eastAsia" w:ascii="宋体" w:hAnsi="宋体" w:eastAsia="宋体" w:cs="宋体"/>
          <w:sz w:val="24"/>
          <w:szCs w:val="20"/>
        </w:rPr>
      </w:pP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14:paraId="4F3E59FE">
      <w:pPr>
        <w:rPr>
          <w:rFonts w:hint="eastAsia" w:ascii="宋体" w:hAnsi="宋体" w:eastAsia="宋体" w:cs="宋体"/>
          <w:sz w:val="24"/>
          <w:szCs w:val="20"/>
        </w:rPr>
      </w:pPr>
      <w:r>
        <w:rPr>
          <w:rFonts w:hint="eastAsia" w:ascii="宋体" w:hAnsi="宋体" w:eastAsia="宋体" w:cs="宋体"/>
          <w:sz w:val="24"/>
          <w:szCs w:val="20"/>
        </w:rPr>
        <w:br w:type="page"/>
      </w:r>
    </w:p>
    <w:p w14:paraId="1B3A947B">
      <w:pPr>
        <w:pStyle w:val="4"/>
        <w:numPr>
          <w:ilvl w:val="0"/>
          <w:numId w:val="3"/>
        </w:numPr>
        <w:bidi w:val="0"/>
        <w:ind w:left="0" w:leftChars="0" w:firstLine="0" w:firstLineChars="0"/>
        <w:rPr>
          <w:rFonts w:hint="eastAsia"/>
        </w:rPr>
      </w:pPr>
      <w:r>
        <w:rPr>
          <w:rFonts w:hint="eastAsia"/>
        </w:rPr>
        <w:t>授权委托书</w:t>
      </w:r>
    </w:p>
    <w:p w14:paraId="084057D6">
      <w:pPr>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本人</w:t>
      </w:r>
      <w:r>
        <w:rPr>
          <w:rFonts w:hint="eastAsia" w:ascii="宋体" w:hAnsi="宋体" w:eastAsia="宋体" w:cs="宋体"/>
          <w:sz w:val="24"/>
          <w:szCs w:val="20"/>
          <w:u w:val="single"/>
        </w:rPr>
        <w:t xml:space="preserve">       </w:t>
      </w:r>
      <w:r>
        <w:rPr>
          <w:rFonts w:hint="eastAsia" w:ascii="宋体" w:hAnsi="宋体" w:eastAsia="宋体" w:cs="宋体"/>
          <w:sz w:val="24"/>
          <w:szCs w:val="20"/>
        </w:rPr>
        <w:t>（姓名）系</w:t>
      </w:r>
      <w:r>
        <w:rPr>
          <w:rFonts w:hint="eastAsia" w:ascii="宋体" w:hAnsi="宋体" w:eastAsia="宋体" w:cs="宋体"/>
          <w:sz w:val="24"/>
          <w:szCs w:val="20"/>
          <w:u w:val="single"/>
        </w:rPr>
        <w:t xml:space="preserve">        </w:t>
      </w:r>
      <w:r>
        <w:rPr>
          <w:rFonts w:hint="eastAsia" w:ascii="宋体" w:hAnsi="宋体" w:eastAsia="宋体" w:cs="宋体"/>
          <w:sz w:val="24"/>
          <w:szCs w:val="20"/>
        </w:rPr>
        <w:t>（响应人名称）的法定代表人，现委托</w:t>
      </w:r>
      <w:r>
        <w:rPr>
          <w:rFonts w:hint="eastAsia" w:ascii="宋体" w:hAnsi="宋体" w:eastAsia="宋体" w:cs="宋体"/>
          <w:sz w:val="24"/>
          <w:szCs w:val="20"/>
          <w:u w:val="single"/>
        </w:rPr>
        <w:t xml:space="preserve">        </w:t>
      </w:r>
      <w:r>
        <w:rPr>
          <w:rFonts w:hint="eastAsia" w:ascii="宋体" w:hAnsi="宋体" w:eastAsia="宋体" w:cs="宋体"/>
          <w:sz w:val="24"/>
          <w:szCs w:val="20"/>
        </w:rPr>
        <w:t>（姓名）为我方代理人。代理人根据授权，以我方名义签署、澄清、说明、补正、递交、撤回、修改</w:t>
      </w:r>
      <w:r>
        <w:rPr>
          <w:rFonts w:hint="eastAsia" w:ascii="宋体" w:hAnsi="宋体" w:eastAsia="宋体" w:cs="宋体"/>
          <w:sz w:val="24"/>
          <w:szCs w:val="20"/>
          <w:u w:val="single"/>
        </w:rPr>
        <w:t xml:space="preserve">         </w:t>
      </w:r>
      <w:r>
        <w:rPr>
          <w:rFonts w:hint="eastAsia" w:ascii="宋体" w:hAnsi="宋体" w:eastAsia="宋体" w:cs="宋体"/>
          <w:sz w:val="24"/>
          <w:szCs w:val="20"/>
        </w:rPr>
        <w:t>（项目名称）响应文件、签订合同和处理有关事宜，其法律后果由我方承担。</w:t>
      </w:r>
    </w:p>
    <w:p w14:paraId="0614A808">
      <w:pPr>
        <w:keepNext w:val="0"/>
        <w:keepLines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委托期限：90日历天。</w:t>
      </w:r>
    </w:p>
    <w:p w14:paraId="258C311A">
      <w:pPr>
        <w:keepNext w:val="0"/>
        <w:keepLines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代理人无转委托权。</w:t>
      </w:r>
    </w:p>
    <w:p w14:paraId="2E29E8AE">
      <w:pPr>
        <w:keepNext w:val="0"/>
        <w:keepLines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eastAsia="宋体" w:cs="宋体"/>
          <w:sz w:val="24"/>
          <w:szCs w:val="20"/>
          <w:lang w:eastAsia="zh-CN"/>
        </w:rPr>
      </w:pPr>
      <w:r>
        <w:rPr>
          <w:rFonts w:hint="eastAsia" w:ascii="宋体" w:hAnsi="宋体" w:eastAsia="宋体" w:cs="宋体"/>
          <w:sz w:val="24"/>
          <w:szCs w:val="20"/>
        </w:rPr>
        <w:t>附：法定代表人</w:t>
      </w:r>
      <w:r>
        <w:rPr>
          <w:rFonts w:hint="eastAsia" w:cs="宋体"/>
          <w:sz w:val="24"/>
          <w:szCs w:val="20"/>
          <w:lang w:eastAsia="zh-CN"/>
        </w:rPr>
        <w:t>和</w:t>
      </w:r>
      <w:r>
        <w:rPr>
          <w:rFonts w:hint="eastAsia" w:ascii="宋体" w:hAnsi="宋体" w:eastAsia="宋体" w:cs="宋体"/>
          <w:sz w:val="24"/>
          <w:szCs w:val="20"/>
        </w:rPr>
        <w:t>委托代理人身份证</w:t>
      </w:r>
      <w:r>
        <w:rPr>
          <w:rFonts w:hint="eastAsia" w:cs="宋体"/>
          <w:sz w:val="24"/>
          <w:szCs w:val="20"/>
          <w:lang w:eastAsia="zh-CN"/>
        </w:rPr>
        <w:t>复印件</w:t>
      </w:r>
    </w:p>
    <w:p w14:paraId="30E1F92E">
      <w:pPr>
        <w:keepNext w:val="0"/>
        <w:keepLines w:val="0"/>
        <w:pageBreakBefore w:val="0"/>
        <w:widowControl w:val="0"/>
        <w:kinsoku/>
        <w:wordWrap/>
        <w:overflowPunct/>
        <w:autoSpaceDE/>
        <w:autoSpaceDN/>
        <w:bidi w:val="0"/>
        <w:adjustRightInd/>
        <w:snapToGrid/>
        <w:spacing w:line="360" w:lineRule="auto"/>
        <w:ind w:firstLine="480" w:firstLineChars="200"/>
        <w:textAlignment w:val="auto"/>
        <w:rPr>
          <w:rFonts w:hint="eastAsia" w:ascii="宋体" w:hAnsi="宋体" w:eastAsia="宋体" w:cs="宋体"/>
          <w:sz w:val="24"/>
          <w:szCs w:val="20"/>
        </w:rPr>
      </w:pPr>
    </w:p>
    <w:p w14:paraId="40C8851D">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right"/>
        <w:textAlignment w:val="auto"/>
        <w:rPr>
          <w:rFonts w:hint="eastAsia" w:ascii="宋体" w:hAnsi="宋体" w:eastAsia="宋体" w:cs="宋体"/>
          <w:sz w:val="24"/>
          <w:szCs w:val="20"/>
        </w:rPr>
      </w:pPr>
      <w:r>
        <w:rPr>
          <w:rFonts w:hint="eastAsia" w:ascii="宋体" w:hAnsi="宋体" w:eastAsia="宋体" w:cs="宋体"/>
          <w:sz w:val="24"/>
          <w:szCs w:val="20"/>
        </w:rPr>
        <w:t>响应人：</w:t>
      </w:r>
      <w:r>
        <w:rPr>
          <w:rFonts w:hint="eastAsia" w:ascii="宋体" w:hAnsi="宋体" w:eastAsia="宋体" w:cs="宋体"/>
          <w:sz w:val="24"/>
          <w:szCs w:val="20"/>
          <w:u w:val="single"/>
        </w:rPr>
        <w:t xml:space="preserve">                            </w:t>
      </w:r>
      <w:r>
        <w:rPr>
          <w:rFonts w:hint="eastAsia" w:ascii="宋体" w:hAnsi="宋体" w:eastAsia="宋体" w:cs="宋体"/>
          <w:sz w:val="24"/>
          <w:szCs w:val="20"/>
        </w:rPr>
        <w:t>（盖单位公章）</w:t>
      </w:r>
    </w:p>
    <w:p w14:paraId="3D1E4618">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right"/>
        <w:textAlignment w:val="auto"/>
        <w:rPr>
          <w:rFonts w:hint="eastAsia" w:ascii="宋体" w:hAnsi="宋体" w:eastAsia="宋体" w:cs="宋体"/>
          <w:sz w:val="24"/>
          <w:szCs w:val="20"/>
        </w:rPr>
      </w:pPr>
      <w:r>
        <w:rPr>
          <w:rFonts w:hint="eastAsia" w:ascii="宋体" w:hAnsi="宋体" w:eastAsia="宋体" w:cs="宋体"/>
          <w:sz w:val="24"/>
          <w:szCs w:val="20"/>
        </w:rPr>
        <w:t>法定代表人：</w:t>
      </w:r>
      <w:r>
        <w:rPr>
          <w:rFonts w:hint="eastAsia" w:ascii="宋体" w:hAnsi="宋体" w:eastAsia="宋体" w:cs="宋体"/>
          <w:sz w:val="24"/>
          <w:szCs w:val="20"/>
          <w:u w:val="single"/>
        </w:rPr>
        <w:t xml:space="preserve">                        </w:t>
      </w:r>
      <w:r>
        <w:rPr>
          <w:rFonts w:hint="eastAsia" w:ascii="宋体" w:hAnsi="宋体" w:eastAsia="宋体" w:cs="宋体"/>
          <w:sz w:val="24"/>
          <w:szCs w:val="20"/>
        </w:rPr>
        <w:t>（签字或盖章）</w:t>
      </w:r>
    </w:p>
    <w:p w14:paraId="73364723">
      <w:pPr>
        <w:keepNext w:val="0"/>
        <w:keepLines w:val="0"/>
        <w:pageBreakBefore w:val="0"/>
        <w:widowControl w:val="0"/>
        <w:kinsoku/>
        <w:wordWrap/>
        <w:overflowPunct/>
        <w:topLinePunct w:val="0"/>
        <w:autoSpaceDE/>
        <w:autoSpaceDN/>
        <w:bidi w:val="0"/>
        <w:adjustRightInd/>
        <w:snapToGrid/>
        <w:spacing w:line="360" w:lineRule="auto"/>
        <w:ind w:firstLine="2400" w:firstLineChars="1000"/>
        <w:textAlignment w:val="auto"/>
        <w:rPr>
          <w:rFonts w:hint="eastAsia" w:ascii="宋体" w:hAnsi="宋体" w:eastAsia="宋体" w:cs="宋体"/>
          <w:sz w:val="24"/>
          <w:szCs w:val="20"/>
        </w:rPr>
      </w:pPr>
      <w:r>
        <w:rPr>
          <w:rFonts w:hint="eastAsia" w:ascii="宋体" w:hAnsi="宋体" w:eastAsia="宋体" w:cs="宋体"/>
          <w:sz w:val="24"/>
          <w:szCs w:val="20"/>
        </w:rPr>
        <w:t>身份证号码：</w:t>
      </w:r>
      <w:r>
        <w:rPr>
          <w:rFonts w:hint="eastAsia" w:ascii="宋体" w:hAnsi="宋体" w:eastAsia="宋体" w:cs="宋体"/>
          <w:sz w:val="24"/>
          <w:szCs w:val="20"/>
          <w:u w:val="single"/>
        </w:rPr>
        <w:t xml:space="preserve">                        </w:t>
      </w:r>
    </w:p>
    <w:p w14:paraId="6484A74E">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right"/>
        <w:textAlignment w:val="auto"/>
        <w:rPr>
          <w:rFonts w:hint="eastAsia" w:ascii="宋体" w:hAnsi="宋体" w:eastAsia="宋体" w:cs="宋体"/>
          <w:sz w:val="24"/>
          <w:szCs w:val="20"/>
        </w:rPr>
      </w:pPr>
      <w:r>
        <w:rPr>
          <w:rFonts w:hint="eastAsia" w:ascii="宋体" w:hAnsi="宋体" w:eastAsia="宋体" w:cs="宋体"/>
          <w:sz w:val="24"/>
          <w:szCs w:val="20"/>
        </w:rPr>
        <w:t>委托代理人：</w:t>
      </w:r>
      <w:r>
        <w:rPr>
          <w:rFonts w:hint="eastAsia" w:ascii="宋体" w:hAnsi="宋体" w:eastAsia="宋体" w:cs="宋体"/>
          <w:sz w:val="24"/>
          <w:szCs w:val="20"/>
          <w:u w:val="single"/>
        </w:rPr>
        <w:t xml:space="preserve">                        </w:t>
      </w:r>
      <w:r>
        <w:rPr>
          <w:rFonts w:hint="eastAsia" w:ascii="宋体" w:hAnsi="宋体" w:eastAsia="宋体" w:cs="宋体"/>
          <w:sz w:val="24"/>
          <w:szCs w:val="20"/>
        </w:rPr>
        <w:t>（签字或盖章）</w:t>
      </w:r>
    </w:p>
    <w:p w14:paraId="2D2E2C9B">
      <w:pPr>
        <w:keepNext w:val="0"/>
        <w:keepLines w:val="0"/>
        <w:pageBreakBefore w:val="0"/>
        <w:widowControl w:val="0"/>
        <w:kinsoku/>
        <w:wordWrap/>
        <w:overflowPunct/>
        <w:topLinePunct w:val="0"/>
        <w:autoSpaceDE/>
        <w:autoSpaceDN/>
        <w:bidi w:val="0"/>
        <w:adjustRightInd/>
        <w:snapToGrid/>
        <w:spacing w:line="360" w:lineRule="auto"/>
        <w:ind w:firstLine="2400" w:firstLineChars="1000"/>
        <w:jc w:val="both"/>
        <w:textAlignment w:val="auto"/>
        <w:rPr>
          <w:rFonts w:hint="eastAsia" w:ascii="宋体" w:hAnsi="宋体" w:eastAsia="宋体" w:cs="宋体"/>
          <w:sz w:val="24"/>
          <w:szCs w:val="20"/>
        </w:rPr>
      </w:pPr>
      <w:r>
        <w:rPr>
          <w:rFonts w:hint="eastAsia" w:ascii="宋体" w:hAnsi="宋体" w:eastAsia="宋体" w:cs="宋体"/>
          <w:sz w:val="24"/>
          <w:szCs w:val="20"/>
        </w:rPr>
        <w:t>身份证号码：</w:t>
      </w:r>
      <w:r>
        <w:rPr>
          <w:rFonts w:hint="eastAsia" w:ascii="宋体" w:hAnsi="宋体" w:eastAsia="宋体" w:cs="宋体"/>
          <w:sz w:val="24"/>
          <w:szCs w:val="20"/>
          <w:u w:val="single"/>
        </w:rPr>
        <w:t xml:space="preserve">                         </w:t>
      </w:r>
    </w:p>
    <w:p w14:paraId="54545AD9">
      <w:pPr>
        <w:keepNext w:val="0"/>
        <w:keepLines w:val="0"/>
        <w:pageBreakBefore w:val="0"/>
        <w:widowControl w:val="0"/>
        <w:kinsoku/>
        <w:wordWrap/>
        <w:overflowPunct/>
        <w:autoSpaceDE/>
        <w:autoSpaceDN/>
        <w:bidi w:val="0"/>
        <w:adjustRightInd/>
        <w:snapToGrid/>
        <w:spacing w:line="360" w:lineRule="auto"/>
        <w:ind w:firstLine="480" w:firstLineChars="200"/>
        <w:jc w:val="right"/>
        <w:textAlignment w:val="auto"/>
        <w:rPr>
          <w:rFonts w:hint="eastAsia" w:ascii="宋体" w:hAnsi="宋体" w:eastAsia="宋体" w:cs="宋体"/>
          <w:sz w:val="24"/>
          <w:szCs w:val="20"/>
        </w:rPr>
      </w:pP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14:paraId="25D470A3">
      <w:pPr>
        <w:rPr>
          <w:rFonts w:hint="eastAsia"/>
        </w:rPr>
      </w:pPr>
      <w:r>
        <w:rPr>
          <w:rFonts w:hint="eastAsia"/>
        </w:rPr>
        <w:br w:type="page"/>
      </w:r>
    </w:p>
    <w:p w14:paraId="7D875235">
      <w:pPr>
        <w:pStyle w:val="4"/>
        <w:bidi w:val="0"/>
        <w:rPr>
          <w:rFonts w:hint="eastAsia"/>
        </w:rPr>
      </w:pPr>
      <w:bookmarkStart w:id="333" w:name="_Toc495425118"/>
      <w:bookmarkStart w:id="334" w:name="_Toc495424912"/>
      <w:bookmarkStart w:id="335" w:name="_Toc477856370"/>
      <w:bookmarkStart w:id="336" w:name="_Toc484089004"/>
      <w:bookmarkStart w:id="337" w:name="_Toc495424179"/>
      <w:bookmarkStart w:id="338" w:name="_Toc7085"/>
      <w:r>
        <w:rPr>
          <w:rFonts w:hint="eastAsia"/>
        </w:rPr>
        <w:t>六、</w:t>
      </w:r>
      <w:bookmarkEnd w:id="333"/>
      <w:bookmarkEnd w:id="334"/>
      <w:bookmarkEnd w:id="335"/>
      <w:bookmarkEnd w:id="336"/>
      <w:bookmarkEnd w:id="337"/>
      <w:r>
        <w:rPr>
          <w:rFonts w:hint="eastAsia"/>
        </w:rPr>
        <w:t>服务方案</w:t>
      </w:r>
      <w:bookmarkEnd w:id="338"/>
    </w:p>
    <w:p w14:paraId="26914E6D">
      <w:pPr>
        <w:spacing w:line="360" w:lineRule="auto"/>
        <w:jc w:val="left"/>
        <w:rPr>
          <w:rFonts w:hint="eastAsia" w:ascii="宋体" w:hAnsi="宋体" w:eastAsia="宋体" w:cs="宋体"/>
          <w:b/>
          <w:bCs/>
          <w:sz w:val="24"/>
          <w:szCs w:val="22"/>
        </w:rPr>
      </w:pPr>
      <w:r>
        <w:rPr>
          <w:rFonts w:hint="eastAsia" w:ascii="宋体" w:hAnsi="宋体" w:eastAsia="宋体" w:cs="宋体"/>
          <w:sz w:val="24"/>
          <w:szCs w:val="22"/>
        </w:rPr>
        <w:t>附投标人依据招标文件要求及有关附件自行编制，应包含以下内容：</w:t>
      </w:r>
    </w:p>
    <w:p w14:paraId="295F8CB0">
      <w:pPr>
        <w:spacing w:line="360" w:lineRule="auto"/>
        <w:jc w:val="left"/>
        <w:rPr>
          <w:rFonts w:hint="eastAsia" w:ascii="宋体" w:hAnsi="宋体" w:eastAsia="宋体" w:cs="宋体"/>
          <w:sz w:val="24"/>
          <w:szCs w:val="22"/>
        </w:rPr>
      </w:pPr>
      <w:r>
        <w:rPr>
          <w:rFonts w:hint="eastAsia" w:cs="宋体"/>
          <w:sz w:val="24"/>
          <w:szCs w:val="22"/>
          <w:lang w:eastAsia="zh-CN"/>
        </w:rPr>
        <w:t>（</w:t>
      </w:r>
      <w:r>
        <w:rPr>
          <w:rFonts w:hint="eastAsia" w:cs="宋体"/>
          <w:sz w:val="24"/>
          <w:szCs w:val="22"/>
          <w:lang w:val="en-US" w:eastAsia="zh-CN"/>
        </w:rPr>
        <w:t>1</w:t>
      </w:r>
      <w:r>
        <w:rPr>
          <w:rFonts w:hint="eastAsia" w:cs="宋体"/>
          <w:sz w:val="24"/>
          <w:szCs w:val="22"/>
          <w:lang w:eastAsia="zh-CN"/>
        </w:rPr>
        <w:t>）</w:t>
      </w:r>
      <w:r>
        <w:rPr>
          <w:rFonts w:hint="eastAsia" w:ascii="宋体" w:hAnsi="宋体" w:eastAsia="宋体" w:cs="宋体"/>
          <w:sz w:val="24"/>
          <w:szCs w:val="22"/>
        </w:rPr>
        <w:t>项目供货方案</w:t>
      </w:r>
    </w:p>
    <w:p w14:paraId="658246BC">
      <w:pPr>
        <w:spacing w:line="360" w:lineRule="auto"/>
        <w:jc w:val="left"/>
        <w:rPr>
          <w:rFonts w:hint="eastAsia" w:ascii="宋体" w:hAnsi="宋体" w:eastAsia="宋体" w:cs="宋体"/>
          <w:sz w:val="24"/>
          <w:szCs w:val="22"/>
        </w:rPr>
      </w:pPr>
      <w:r>
        <w:rPr>
          <w:rFonts w:hint="eastAsia" w:cs="宋体"/>
          <w:sz w:val="24"/>
          <w:szCs w:val="22"/>
          <w:lang w:eastAsia="zh-CN"/>
        </w:rPr>
        <w:t>（</w:t>
      </w:r>
      <w:r>
        <w:rPr>
          <w:rFonts w:hint="eastAsia" w:cs="宋体"/>
          <w:sz w:val="24"/>
          <w:szCs w:val="22"/>
          <w:lang w:val="en-US" w:eastAsia="zh-CN"/>
        </w:rPr>
        <w:t>2</w:t>
      </w:r>
      <w:r>
        <w:rPr>
          <w:rFonts w:hint="eastAsia" w:cs="宋体"/>
          <w:sz w:val="24"/>
          <w:szCs w:val="22"/>
          <w:lang w:eastAsia="zh-CN"/>
        </w:rPr>
        <w:t>）</w:t>
      </w:r>
      <w:r>
        <w:rPr>
          <w:rFonts w:hint="eastAsia" w:ascii="宋体" w:hAnsi="宋体" w:eastAsia="宋体" w:cs="宋体"/>
          <w:sz w:val="24"/>
          <w:szCs w:val="22"/>
        </w:rPr>
        <w:t>售后服务方案</w:t>
      </w:r>
    </w:p>
    <w:p w14:paraId="7ADB2FD9">
      <w:pPr>
        <w:spacing w:line="360" w:lineRule="auto"/>
        <w:jc w:val="left"/>
        <w:rPr>
          <w:rFonts w:hint="eastAsia" w:ascii="宋体" w:hAnsi="宋体" w:eastAsia="宋体" w:cs="宋体"/>
          <w:sz w:val="24"/>
          <w:szCs w:val="22"/>
        </w:rPr>
      </w:pPr>
      <w:r>
        <w:rPr>
          <w:rFonts w:hint="eastAsia" w:cs="宋体"/>
          <w:sz w:val="24"/>
          <w:szCs w:val="22"/>
          <w:lang w:eastAsia="zh-CN"/>
        </w:rPr>
        <w:t>（</w:t>
      </w:r>
      <w:r>
        <w:rPr>
          <w:rFonts w:hint="eastAsia" w:cs="宋体"/>
          <w:sz w:val="24"/>
          <w:szCs w:val="22"/>
          <w:lang w:val="en-US" w:eastAsia="zh-CN"/>
        </w:rPr>
        <w:t>3</w:t>
      </w:r>
      <w:r>
        <w:rPr>
          <w:rFonts w:hint="eastAsia" w:cs="宋体"/>
          <w:sz w:val="24"/>
          <w:szCs w:val="22"/>
          <w:lang w:eastAsia="zh-CN"/>
        </w:rPr>
        <w:t>）</w:t>
      </w:r>
      <w:r>
        <w:rPr>
          <w:rFonts w:hint="eastAsia" w:ascii="宋体" w:hAnsi="宋体" w:eastAsia="宋体" w:cs="宋体"/>
          <w:sz w:val="24"/>
          <w:szCs w:val="22"/>
        </w:rPr>
        <w:t>应急处理方案</w:t>
      </w:r>
    </w:p>
    <w:p w14:paraId="05A98592">
      <w:pPr>
        <w:pStyle w:val="9"/>
        <w:rPr>
          <w:rFonts w:hint="eastAsia"/>
          <w:sz w:val="24"/>
          <w:szCs w:val="22"/>
        </w:rPr>
      </w:pPr>
      <w:r>
        <w:rPr>
          <w:rFonts w:hint="eastAsia" w:ascii="宋体" w:hAnsi="宋体" w:eastAsia="宋体" w:cs="宋体"/>
          <w:sz w:val="24"/>
          <w:szCs w:val="22"/>
        </w:rPr>
        <w:t>（4）其他需要补充的说明</w:t>
      </w:r>
    </w:p>
    <w:p w14:paraId="703581BF">
      <w:r>
        <w:br w:type="page"/>
      </w:r>
    </w:p>
    <w:p w14:paraId="0FB1ACFF">
      <w:pPr>
        <w:pStyle w:val="4"/>
        <w:bidi w:val="0"/>
        <w:rPr>
          <w:rFonts w:hint="eastAsia"/>
        </w:rPr>
      </w:pPr>
      <w:bookmarkStart w:id="339" w:name="_Toc16544"/>
      <w:r>
        <w:rPr>
          <w:rFonts w:hint="eastAsia"/>
        </w:rPr>
        <w:t>七、资格审查资料</w:t>
      </w:r>
      <w:bookmarkEnd w:id="339"/>
    </w:p>
    <w:p w14:paraId="3E40D9BF">
      <w:pPr>
        <w:pStyle w:val="4"/>
        <w:spacing w:before="0" w:after="0"/>
        <w:ind w:left="0"/>
        <w:rPr>
          <w:rFonts w:hint="eastAsia" w:ascii="宋体" w:hAnsi="宋体" w:eastAsia="宋体" w:cs="宋体"/>
        </w:rPr>
      </w:pPr>
      <w:bookmarkStart w:id="340" w:name="_Toc482731954"/>
      <w:bookmarkStart w:id="341" w:name="_Toc484089010"/>
      <w:bookmarkStart w:id="342" w:name="_Toc991"/>
      <w:bookmarkStart w:id="343" w:name="_Toc495424185"/>
      <w:bookmarkStart w:id="344" w:name="_Toc495424918"/>
      <w:bookmarkStart w:id="345" w:name="_Toc8118"/>
      <w:bookmarkStart w:id="346" w:name="_Toc478830486"/>
      <w:bookmarkStart w:id="347" w:name="_Toc477856376"/>
      <w:bookmarkStart w:id="348" w:name="_Toc495425124"/>
      <w:r>
        <w:rPr>
          <w:rFonts w:hint="eastAsia" w:ascii="宋体" w:hAnsi="宋体" w:eastAsia="宋体" w:cs="宋体"/>
        </w:rPr>
        <w:t>（一）响应人基本情况表</w:t>
      </w:r>
      <w:bookmarkEnd w:id="340"/>
      <w:bookmarkEnd w:id="341"/>
      <w:bookmarkEnd w:id="342"/>
      <w:bookmarkEnd w:id="343"/>
      <w:bookmarkEnd w:id="344"/>
      <w:bookmarkEnd w:id="345"/>
      <w:bookmarkEnd w:id="346"/>
      <w:bookmarkEnd w:id="347"/>
      <w:bookmarkEnd w:id="348"/>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01"/>
        <w:gridCol w:w="1143"/>
        <w:gridCol w:w="684"/>
        <w:gridCol w:w="1553"/>
        <w:gridCol w:w="1065"/>
        <w:gridCol w:w="2314"/>
      </w:tblGrid>
      <w:tr w14:paraId="51434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14:paraId="3ECED2D8">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响应人名称</w:t>
            </w:r>
          </w:p>
        </w:tc>
        <w:tc>
          <w:tcPr>
            <w:tcW w:w="6759" w:type="dxa"/>
            <w:gridSpan w:val="5"/>
            <w:tcBorders>
              <w:top w:val="single" w:color="auto" w:sz="4" w:space="0"/>
              <w:left w:val="single" w:color="auto" w:sz="4" w:space="0"/>
              <w:bottom w:val="single" w:color="auto" w:sz="4" w:space="0"/>
              <w:right w:val="single" w:color="auto" w:sz="4" w:space="0"/>
            </w:tcBorders>
            <w:noWrap w:val="0"/>
            <w:vAlign w:val="center"/>
          </w:tcPr>
          <w:p w14:paraId="0CE2D761">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p>
        </w:tc>
      </w:tr>
      <w:tr w14:paraId="6EA80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14:paraId="14F61274">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注册地址</w:t>
            </w:r>
          </w:p>
        </w:tc>
        <w:tc>
          <w:tcPr>
            <w:tcW w:w="3380" w:type="dxa"/>
            <w:gridSpan w:val="3"/>
            <w:tcBorders>
              <w:top w:val="single" w:color="auto" w:sz="4" w:space="0"/>
              <w:left w:val="single" w:color="auto" w:sz="4" w:space="0"/>
              <w:bottom w:val="single" w:color="auto" w:sz="4" w:space="0"/>
              <w:right w:val="single" w:color="auto" w:sz="4" w:space="0"/>
            </w:tcBorders>
            <w:noWrap w:val="0"/>
            <w:vAlign w:val="center"/>
          </w:tcPr>
          <w:p w14:paraId="5F9D82D9">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04663FC">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邮政编码</w:t>
            </w:r>
          </w:p>
        </w:tc>
        <w:tc>
          <w:tcPr>
            <w:tcW w:w="2314" w:type="dxa"/>
            <w:tcBorders>
              <w:top w:val="single" w:color="auto" w:sz="4" w:space="0"/>
              <w:left w:val="single" w:color="auto" w:sz="4" w:space="0"/>
              <w:bottom w:val="single" w:color="auto" w:sz="4" w:space="0"/>
              <w:right w:val="single" w:color="auto" w:sz="4" w:space="0"/>
            </w:tcBorders>
            <w:noWrap w:val="0"/>
            <w:vAlign w:val="center"/>
          </w:tcPr>
          <w:p w14:paraId="17DA481A">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p>
        </w:tc>
      </w:tr>
      <w:tr w14:paraId="36D7F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1601" w:type="dxa"/>
            <w:vMerge w:val="restart"/>
            <w:tcBorders>
              <w:top w:val="single" w:color="auto" w:sz="4" w:space="0"/>
              <w:left w:val="single" w:color="auto" w:sz="4" w:space="0"/>
              <w:bottom w:val="single" w:color="auto" w:sz="4" w:space="0"/>
              <w:right w:val="single" w:color="auto" w:sz="4" w:space="0"/>
            </w:tcBorders>
            <w:noWrap w:val="0"/>
            <w:vAlign w:val="center"/>
          </w:tcPr>
          <w:p w14:paraId="17D3EAE0">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联系方式</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28488905">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联系人</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14:paraId="2A946678">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2A0A2C2">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电 话</w:t>
            </w:r>
          </w:p>
        </w:tc>
        <w:tc>
          <w:tcPr>
            <w:tcW w:w="2314" w:type="dxa"/>
            <w:tcBorders>
              <w:top w:val="single" w:color="auto" w:sz="4" w:space="0"/>
              <w:left w:val="single" w:color="auto" w:sz="4" w:space="0"/>
              <w:bottom w:val="single" w:color="auto" w:sz="4" w:space="0"/>
              <w:right w:val="single" w:color="auto" w:sz="4" w:space="0"/>
            </w:tcBorders>
            <w:noWrap w:val="0"/>
            <w:vAlign w:val="center"/>
          </w:tcPr>
          <w:p w14:paraId="1B4F7721">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p>
        </w:tc>
      </w:tr>
      <w:tr w14:paraId="02A25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1601" w:type="dxa"/>
            <w:vMerge w:val="continue"/>
            <w:tcBorders>
              <w:top w:val="single" w:color="auto" w:sz="4" w:space="0"/>
              <w:left w:val="single" w:color="auto" w:sz="4" w:space="0"/>
              <w:bottom w:val="single" w:color="auto" w:sz="4" w:space="0"/>
              <w:right w:val="single" w:color="auto" w:sz="4" w:space="0"/>
            </w:tcBorders>
            <w:noWrap w:val="0"/>
            <w:vAlign w:val="center"/>
          </w:tcPr>
          <w:p w14:paraId="644B35E3">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14:paraId="3FCF86BA">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传  真</w:t>
            </w:r>
          </w:p>
        </w:tc>
        <w:tc>
          <w:tcPr>
            <w:tcW w:w="2237" w:type="dxa"/>
            <w:gridSpan w:val="2"/>
            <w:tcBorders>
              <w:top w:val="single" w:color="auto" w:sz="4" w:space="0"/>
              <w:left w:val="single" w:color="auto" w:sz="4" w:space="0"/>
              <w:bottom w:val="single" w:color="auto" w:sz="4" w:space="0"/>
              <w:right w:val="single" w:color="auto" w:sz="4" w:space="0"/>
            </w:tcBorders>
            <w:noWrap w:val="0"/>
            <w:vAlign w:val="center"/>
          </w:tcPr>
          <w:p w14:paraId="37827138">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6F884DC">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网 址</w:t>
            </w:r>
          </w:p>
        </w:tc>
        <w:tc>
          <w:tcPr>
            <w:tcW w:w="2314" w:type="dxa"/>
            <w:tcBorders>
              <w:top w:val="single" w:color="auto" w:sz="4" w:space="0"/>
              <w:left w:val="single" w:color="auto" w:sz="4" w:space="0"/>
              <w:bottom w:val="single" w:color="auto" w:sz="4" w:space="0"/>
              <w:right w:val="single" w:color="auto" w:sz="4" w:space="0"/>
            </w:tcBorders>
            <w:noWrap w:val="0"/>
            <w:vAlign w:val="center"/>
          </w:tcPr>
          <w:p w14:paraId="4C31BCCF">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p>
        </w:tc>
      </w:tr>
      <w:tr w14:paraId="0FF9D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14:paraId="0514E7F5">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tc>
        <w:tc>
          <w:tcPr>
            <w:tcW w:w="1143" w:type="dxa"/>
            <w:tcBorders>
              <w:top w:val="single" w:color="auto" w:sz="4" w:space="0"/>
              <w:left w:val="single" w:color="auto" w:sz="4" w:space="0"/>
              <w:bottom w:val="single" w:color="auto" w:sz="4" w:space="0"/>
              <w:right w:val="single" w:color="auto" w:sz="4" w:space="0"/>
            </w:tcBorders>
            <w:noWrap w:val="0"/>
            <w:vAlign w:val="center"/>
          </w:tcPr>
          <w:p w14:paraId="332D5774">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6D1202C4">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p>
        </w:tc>
        <w:tc>
          <w:tcPr>
            <w:tcW w:w="2618" w:type="dxa"/>
            <w:gridSpan w:val="2"/>
            <w:tcBorders>
              <w:top w:val="single" w:color="auto" w:sz="4" w:space="0"/>
              <w:left w:val="single" w:color="auto" w:sz="4" w:space="0"/>
              <w:bottom w:val="single" w:color="auto" w:sz="4" w:space="0"/>
              <w:right w:val="single" w:color="auto" w:sz="4" w:space="0"/>
            </w:tcBorders>
            <w:noWrap w:val="0"/>
            <w:vAlign w:val="center"/>
          </w:tcPr>
          <w:p w14:paraId="024EEFC4">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电话</w:t>
            </w:r>
          </w:p>
        </w:tc>
        <w:tc>
          <w:tcPr>
            <w:tcW w:w="2314" w:type="dxa"/>
            <w:tcBorders>
              <w:top w:val="single" w:color="auto" w:sz="4" w:space="0"/>
              <w:left w:val="single" w:color="auto" w:sz="4" w:space="0"/>
              <w:bottom w:val="single" w:color="auto" w:sz="4" w:space="0"/>
              <w:right w:val="single" w:color="auto" w:sz="4" w:space="0"/>
            </w:tcBorders>
            <w:noWrap w:val="0"/>
            <w:vAlign w:val="center"/>
          </w:tcPr>
          <w:p w14:paraId="5BE68B11">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p>
        </w:tc>
      </w:tr>
      <w:tr w14:paraId="05327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14:paraId="215DBD9A">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成立时间</w:t>
            </w:r>
          </w:p>
        </w:tc>
        <w:tc>
          <w:tcPr>
            <w:tcW w:w="1827" w:type="dxa"/>
            <w:gridSpan w:val="2"/>
            <w:tcBorders>
              <w:top w:val="single" w:color="auto" w:sz="4" w:space="0"/>
              <w:left w:val="single" w:color="auto" w:sz="4" w:space="0"/>
              <w:bottom w:val="single" w:color="auto" w:sz="4" w:space="0"/>
              <w:right w:val="single" w:color="auto" w:sz="4" w:space="0"/>
            </w:tcBorders>
            <w:noWrap w:val="0"/>
            <w:vAlign w:val="center"/>
          </w:tcPr>
          <w:p w14:paraId="5A98F9C0">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p>
        </w:tc>
        <w:tc>
          <w:tcPr>
            <w:tcW w:w="4932" w:type="dxa"/>
            <w:gridSpan w:val="3"/>
            <w:tcBorders>
              <w:top w:val="single" w:color="auto" w:sz="4" w:space="0"/>
              <w:left w:val="single" w:color="auto" w:sz="4" w:space="0"/>
              <w:bottom w:val="single" w:color="auto" w:sz="4" w:space="0"/>
              <w:right w:val="single" w:color="auto" w:sz="4" w:space="0"/>
            </w:tcBorders>
            <w:noWrap w:val="0"/>
            <w:vAlign w:val="center"/>
          </w:tcPr>
          <w:p w14:paraId="1E5A5C66">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员工总人数：</w:t>
            </w:r>
          </w:p>
        </w:tc>
      </w:tr>
      <w:tr w14:paraId="534D1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14:paraId="2AB02F66">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营业执照号</w:t>
            </w:r>
          </w:p>
        </w:tc>
        <w:tc>
          <w:tcPr>
            <w:tcW w:w="6759" w:type="dxa"/>
            <w:gridSpan w:val="5"/>
            <w:tcBorders>
              <w:top w:val="single" w:color="auto" w:sz="4" w:space="0"/>
              <w:left w:val="single" w:color="auto" w:sz="4" w:space="0"/>
              <w:bottom w:val="single" w:color="auto" w:sz="4" w:space="0"/>
              <w:right w:val="single" w:color="auto" w:sz="4" w:space="0"/>
            </w:tcBorders>
            <w:noWrap w:val="0"/>
            <w:vAlign w:val="center"/>
          </w:tcPr>
          <w:p w14:paraId="1C85A109">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p>
        </w:tc>
      </w:tr>
      <w:tr w14:paraId="7FF60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14:paraId="09DDF54D">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资质证书号</w:t>
            </w:r>
          </w:p>
        </w:tc>
        <w:tc>
          <w:tcPr>
            <w:tcW w:w="6759" w:type="dxa"/>
            <w:gridSpan w:val="5"/>
            <w:tcBorders>
              <w:top w:val="single" w:color="auto" w:sz="4" w:space="0"/>
              <w:left w:val="single" w:color="auto" w:sz="4" w:space="0"/>
              <w:bottom w:val="single" w:color="auto" w:sz="4" w:space="0"/>
              <w:right w:val="single" w:color="auto" w:sz="4" w:space="0"/>
            </w:tcBorders>
            <w:noWrap w:val="0"/>
            <w:vAlign w:val="center"/>
          </w:tcPr>
          <w:p w14:paraId="486A4FD8">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p>
        </w:tc>
      </w:tr>
      <w:tr w14:paraId="0FA8AE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14:paraId="07D5A6F5">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注册资金</w:t>
            </w:r>
          </w:p>
        </w:tc>
        <w:tc>
          <w:tcPr>
            <w:tcW w:w="6759" w:type="dxa"/>
            <w:gridSpan w:val="5"/>
            <w:tcBorders>
              <w:top w:val="single" w:color="auto" w:sz="4" w:space="0"/>
              <w:left w:val="single" w:color="auto" w:sz="4" w:space="0"/>
              <w:bottom w:val="single" w:color="auto" w:sz="4" w:space="0"/>
              <w:right w:val="single" w:color="auto" w:sz="4" w:space="0"/>
            </w:tcBorders>
            <w:noWrap w:val="0"/>
            <w:vAlign w:val="center"/>
          </w:tcPr>
          <w:p w14:paraId="1FF47CA4">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p>
        </w:tc>
      </w:tr>
      <w:tr w14:paraId="68A32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14:paraId="448DAD01">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开户银行</w:t>
            </w:r>
          </w:p>
        </w:tc>
        <w:tc>
          <w:tcPr>
            <w:tcW w:w="6759" w:type="dxa"/>
            <w:gridSpan w:val="5"/>
            <w:tcBorders>
              <w:top w:val="single" w:color="auto" w:sz="4" w:space="0"/>
              <w:left w:val="single" w:color="auto" w:sz="4" w:space="0"/>
              <w:bottom w:val="single" w:color="auto" w:sz="4" w:space="0"/>
              <w:right w:val="single" w:color="auto" w:sz="4" w:space="0"/>
            </w:tcBorders>
            <w:noWrap w:val="0"/>
            <w:vAlign w:val="center"/>
          </w:tcPr>
          <w:p w14:paraId="6D8C2662">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p>
        </w:tc>
      </w:tr>
      <w:tr w14:paraId="05002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14:paraId="0799DA16">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账号</w:t>
            </w:r>
          </w:p>
        </w:tc>
        <w:tc>
          <w:tcPr>
            <w:tcW w:w="6759" w:type="dxa"/>
            <w:gridSpan w:val="5"/>
            <w:tcBorders>
              <w:top w:val="single" w:color="auto" w:sz="4" w:space="0"/>
              <w:left w:val="single" w:color="auto" w:sz="4" w:space="0"/>
              <w:bottom w:val="single" w:color="auto" w:sz="4" w:space="0"/>
              <w:right w:val="single" w:color="auto" w:sz="4" w:space="0"/>
            </w:tcBorders>
            <w:noWrap w:val="0"/>
            <w:vAlign w:val="center"/>
          </w:tcPr>
          <w:p w14:paraId="48C09B7C">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p>
        </w:tc>
      </w:tr>
      <w:tr w14:paraId="67240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601" w:type="dxa"/>
            <w:tcBorders>
              <w:top w:val="single" w:color="auto" w:sz="4" w:space="0"/>
              <w:left w:val="single" w:color="auto" w:sz="4" w:space="0"/>
              <w:right w:val="single" w:color="auto" w:sz="4" w:space="0"/>
            </w:tcBorders>
            <w:noWrap w:val="0"/>
            <w:vAlign w:val="center"/>
          </w:tcPr>
          <w:p w14:paraId="0010CAC6">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经营范围</w:t>
            </w:r>
          </w:p>
        </w:tc>
        <w:tc>
          <w:tcPr>
            <w:tcW w:w="6759" w:type="dxa"/>
            <w:gridSpan w:val="5"/>
            <w:tcBorders>
              <w:top w:val="single" w:color="auto" w:sz="4" w:space="0"/>
              <w:left w:val="single" w:color="auto" w:sz="4" w:space="0"/>
              <w:right w:val="single" w:color="auto" w:sz="4" w:space="0"/>
            </w:tcBorders>
            <w:noWrap w:val="0"/>
            <w:vAlign w:val="center"/>
          </w:tcPr>
          <w:p w14:paraId="266DA5EC">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p>
        </w:tc>
      </w:tr>
      <w:tr w14:paraId="0FD80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14:paraId="6EF010BA">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c>
          <w:tcPr>
            <w:tcW w:w="6759" w:type="dxa"/>
            <w:gridSpan w:val="5"/>
            <w:tcBorders>
              <w:top w:val="single" w:color="auto" w:sz="4" w:space="0"/>
              <w:left w:val="single" w:color="auto" w:sz="4" w:space="0"/>
              <w:bottom w:val="single" w:color="auto" w:sz="4" w:space="0"/>
              <w:right w:val="single" w:color="auto" w:sz="4" w:space="0"/>
            </w:tcBorders>
            <w:noWrap w:val="0"/>
            <w:vAlign w:val="center"/>
          </w:tcPr>
          <w:p w14:paraId="03EBD68E">
            <w:pPr>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宋体" w:hAnsi="宋体" w:eastAsia="宋体" w:cs="宋体"/>
                <w:sz w:val="24"/>
                <w:szCs w:val="24"/>
              </w:rPr>
            </w:pPr>
          </w:p>
        </w:tc>
      </w:tr>
    </w:tbl>
    <w:p w14:paraId="79B08CD9">
      <w:pPr>
        <w:spacing w:line="400" w:lineRule="exact"/>
        <w:rPr>
          <w:rFonts w:hint="eastAsia" w:ascii="宋体" w:hAnsi="宋体" w:eastAsia="宋体" w:cs="宋体"/>
          <w:sz w:val="24"/>
          <w:szCs w:val="20"/>
        </w:rPr>
      </w:pPr>
      <w:r>
        <w:rPr>
          <w:rFonts w:hint="eastAsia" w:ascii="宋体" w:hAnsi="宋体" w:eastAsia="宋体" w:cs="宋体"/>
          <w:sz w:val="24"/>
          <w:szCs w:val="22"/>
        </w:rPr>
        <w:t>备注：在本表后应</w:t>
      </w:r>
      <w:r>
        <w:rPr>
          <w:rFonts w:hint="eastAsia" w:ascii="宋体" w:hAnsi="宋体" w:eastAsia="宋体" w:cs="宋体"/>
          <w:sz w:val="24"/>
          <w:szCs w:val="20"/>
        </w:rPr>
        <w:t>附</w:t>
      </w:r>
      <w:r>
        <w:rPr>
          <w:rFonts w:hint="eastAsia" w:ascii="宋体" w:hAnsi="宋体" w:eastAsia="宋体" w:cs="宋体"/>
          <w:sz w:val="24"/>
          <w:szCs w:val="22"/>
        </w:rPr>
        <w:t>①营业执照（副本）、②财务审计报告、③承诺书、④</w:t>
      </w:r>
      <w:r>
        <w:rPr>
          <w:rFonts w:hint="eastAsia" w:ascii="宋体" w:hAnsi="宋体" w:eastAsia="宋体" w:cs="宋体"/>
          <w:sz w:val="24"/>
          <w:szCs w:val="20"/>
        </w:rPr>
        <w:t>202</w:t>
      </w:r>
      <w:r>
        <w:rPr>
          <w:rFonts w:hint="eastAsia" w:ascii="宋体" w:hAnsi="宋体" w:eastAsia="宋体" w:cs="宋体"/>
          <w:sz w:val="24"/>
          <w:szCs w:val="20"/>
          <w:lang w:val="en-US" w:eastAsia="zh-CN"/>
        </w:rPr>
        <w:t>4</w:t>
      </w:r>
      <w:r>
        <w:rPr>
          <w:rFonts w:hint="eastAsia" w:ascii="宋体" w:hAnsi="宋体" w:eastAsia="宋体" w:cs="宋体"/>
          <w:sz w:val="24"/>
          <w:szCs w:val="20"/>
        </w:rPr>
        <w:t>年</w:t>
      </w:r>
      <w:r>
        <w:rPr>
          <w:rFonts w:hint="eastAsia" w:ascii="宋体" w:hAnsi="宋体" w:eastAsia="宋体" w:cs="宋体"/>
          <w:sz w:val="24"/>
          <w:szCs w:val="20"/>
          <w:lang w:val="en-US" w:eastAsia="zh-CN"/>
        </w:rPr>
        <w:t>1</w:t>
      </w:r>
      <w:r>
        <w:rPr>
          <w:rFonts w:hint="eastAsia" w:ascii="宋体" w:hAnsi="宋体" w:eastAsia="宋体" w:cs="宋体"/>
          <w:sz w:val="24"/>
          <w:szCs w:val="20"/>
        </w:rPr>
        <w:t>月份以来任意一个月份依法纳税和缴纳社会保障资金的证明材料、</w:t>
      </w:r>
      <w:r>
        <w:rPr>
          <w:rFonts w:hint="eastAsia" w:ascii="宋体" w:hAnsi="宋体" w:eastAsia="宋体" w:cs="宋体"/>
          <w:sz w:val="24"/>
          <w:szCs w:val="22"/>
        </w:rPr>
        <w:t>⑤</w:t>
      </w:r>
      <w:r>
        <w:rPr>
          <w:rFonts w:hint="eastAsia" w:ascii="宋体" w:hAnsi="宋体" w:eastAsia="宋体" w:cs="宋体"/>
          <w:sz w:val="24"/>
          <w:szCs w:val="20"/>
        </w:rPr>
        <w:t>参加政府采购活动前三年内，在经营活动中没有重大违法记录的书面声明</w:t>
      </w:r>
      <w:r>
        <w:rPr>
          <w:rFonts w:hint="eastAsia" w:ascii="宋体" w:hAnsi="宋体" w:eastAsia="宋体" w:cs="宋体"/>
          <w:sz w:val="24"/>
          <w:szCs w:val="22"/>
        </w:rPr>
        <w:t>、⑥网站查询结果网页截图（列入失信被执行人、重大税收违法案件当事人名单、政府采购严重违法失信行为记录名单3页截图并加盖单位公章）、⑦</w:t>
      </w:r>
      <w:r>
        <w:rPr>
          <w:rFonts w:hint="eastAsia" w:ascii="宋体" w:hAnsi="宋体" w:eastAsia="宋体" w:cs="宋体"/>
          <w:sz w:val="24"/>
          <w:szCs w:val="20"/>
        </w:rPr>
        <w:t>提供“全国企业信用信息公示系统”中查询打印的相关材料</w:t>
      </w:r>
      <w:r>
        <w:rPr>
          <w:rFonts w:hint="eastAsia" w:ascii="宋体" w:hAnsi="宋体" w:eastAsia="宋体" w:cs="宋体"/>
          <w:sz w:val="24"/>
          <w:szCs w:val="22"/>
        </w:rPr>
        <w:t>（加盖单位公章）等材料</w:t>
      </w:r>
      <w:r>
        <w:rPr>
          <w:rFonts w:hint="eastAsia" w:ascii="宋体" w:hAnsi="宋体" w:eastAsia="宋体" w:cs="宋体"/>
          <w:sz w:val="24"/>
          <w:szCs w:val="20"/>
        </w:rPr>
        <w:t>。</w:t>
      </w:r>
    </w:p>
    <w:p w14:paraId="3108DAAB">
      <w:pPr>
        <w:rPr>
          <w:rFonts w:hint="eastAsia" w:ascii="宋体" w:hAnsi="宋体" w:eastAsia="宋体" w:cs="宋体"/>
          <w:szCs w:val="21"/>
        </w:rPr>
      </w:pPr>
      <w:r>
        <w:rPr>
          <w:rFonts w:hint="eastAsia" w:ascii="宋体" w:hAnsi="宋体" w:eastAsia="宋体" w:cs="宋体"/>
          <w:szCs w:val="21"/>
        </w:rPr>
        <w:br w:type="page"/>
      </w:r>
    </w:p>
    <w:p w14:paraId="6108D885">
      <w:pPr>
        <w:pStyle w:val="4"/>
        <w:spacing w:before="0" w:after="0" w:line="360" w:lineRule="exact"/>
        <w:ind w:left="0"/>
        <w:rPr>
          <w:rFonts w:hint="eastAsia" w:ascii="宋体" w:hAnsi="宋体" w:eastAsia="宋体" w:cs="宋体"/>
        </w:rPr>
      </w:pPr>
      <w:bookmarkStart w:id="349" w:name="_Toc495424187"/>
      <w:bookmarkStart w:id="350" w:name="_Toc495425126"/>
      <w:bookmarkStart w:id="351" w:name="_Toc482731956"/>
      <w:bookmarkStart w:id="352" w:name="_Toc1655"/>
      <w:bookmarkStart w:id="353" w:name="_Toc484089012"/>
      <w:bookmarkStart w:id="354" w:name="_Toc477856378"/>
      <w:bookmarkStart w:id="355" w:name="_Toc495424920"/>
      <w:bookmarkStart w:id="356" w:name="_Toc3287"/>
      <w:bookmarkStart w:id="357" w:name="_Toc478830488"/>
      <w:r>
        <w:rPr>
          <w:rFonts w:hint="eastAsia" w:ascii="宋体" w:hAnsi="宋体" w:eastAsia="宋体" w:cs="宋体"/>
        </w:rPr>
        <w:t>（二）书面声明</w:t>
      </w:r>
      <w:bookmarkEnd w:id="349"/>
      <w:bookmarkEnd w:id="350"/>
      <w:bookmarkEnd w:id="351"/>
      <w:bookmarkEnd w:id="352"/>
      <w:bookmarkEnd w:id="353"/>
      <w:bookmarkEnd w:id="354"/>
      <w:bookmarkEnd w:id="355"/>
      <w:bookmarkEnd w:id="356"/>
      <w:bookmarkEnd w:id="357"/>
    </w:p>
    <w:p w14:paraId="0D7E73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我方承诺在参加采购活动前3年内在经营活动中没有重大违法记录（</w:t>
      </w:r>
      <w:r>
        <w:rPr>
          <w:rFonts w:hint="eastAsia" w:ascii="宋体" w:hAnsi="宋体" w:eastAsia="宋体" w:cs="宋体"/>
          <w:sz w:val="24"/>
          <w:szCs w:val="20"/>
        </w:rPr>
        <w:t>重大违法记录是指响应人因违法经营受到刑事处罚或者责令停产停业、吊销许可证或者执照、较大数额罚款等行政处罚）</w:t>
      </w:r>
      <w:r>
        <w:rPr>
          <w:rFonts w:hint="eastAsia" w:ascii="宋体" w:hAnsi="宋体" w:eastAsia="宋体" w:cs="宋体"/>
          <w:sz w:val="24"/>
          <w:szCs w:val="22"/>
        </w:rPr>
        <w:t>。</w:t>
      </w:r>
    </w:p>
    <w:p w14:paraId="441AA4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上述承诺内容如有不实</w:t>
      </w:r>
      <w:r>
        <w:rPr>
          <w:rFonts w:hint="eastAsia" w:ascii="宋体" w:hAnsi="宋体" w:eastAsia="宋体" w:cs="宋体"/>
          <w:sz w:val="24"/>
          <w:szCs w:val="22"/>
        </w:rPr>
        <w:t>或违反上述承诺</w:t>
      </w:r>
      <w:r>
        <w:rPr>
          <w:rFonts w:hint="eastAsia" w:ascii="宋体" w:hAnsi="宋体" w:eastAsia="宋体" w:cs="宋体"/>
          <w:sz w:val="24"/>
          <w:szCs w:val="20"/>
        </w:rPr>
        <w:t>，我方愿意承担由此造成的一切法律责任，并承诺以磋商保证金作为违约金支付给采购人。</w:t>
      </w:r>
    </w:p>
    <w:p w14:paraId="3F85B7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0"/>
        </w:rPr>
        <w:t>特此承诺</w:t>
      </w:r>
    </w:p>
    <w:p w14:paraId="65203B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p>
    <w:p w14:paraId="7D4B75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p>
    <w:p w14:paraId="6EF8A4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响 应 人：</w:t>
      </w:r>
      <w:r>
        <w:rPr>
          <w:rFonts w:hint="eastAsia" w:ascii="宋体" w:hAnsi="宋体" w:eastAsia="宋体" w:cs="宋体"/>
          <w:sz w:val="24"/>
          <w:szCs w:val="20"/>
          <w:u w:val="single"/>
        </w:rPr>
        <w:t xml:space="preserve">                      </w:t>
      </w:r>
      <w:r>
        <w:rPr>
          <w:rFonts w:hint="eastAsia" w:ascii="宋体" w:hAnsi="宋体" w:eastAsia="宋体" w:cs="宋体"/>
          <w:sz w:val="24"/>
          <w:szCs w:val="20"/>
        </w:rPr>
        <w:t>（盖单位公章）</w:t>
      </w:r>
    </w:p>
    <w:p w14:paraId="726F4F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法定代表人或其委托代理人：</w:t>
      </w:r>
      <w:r>
        <w:rPr>
          <w:rFonts w:hint="eastAsia" w:ascii="宋体" w:hAnsi="宋体" w:eastAsia="宋体" w:cs="宋体"/>
          <w:sz w:val="24"/>
          <w:szCs w:val="20"/>
          <w:u w:val="single"/>
        </w:rPr>
        <w:t xml:space="preserve">      </w:t>
      </w:r>
      <w:r>
        <w:rPr>
          <w:rFonts w:hint="eastAsia" w:ascii="宋体" w:hAnsi="宋体" w:eastAsia="宋体" w:cs="宋体"/>
          <w:sz w:val="24"/>
          <w:szCs w:val="20"/>
        </w:rPr>
        <w:t>（签字或盖章）</w:t>
      </w:r>
    </w:p>
    <w:p w14:paraId="647DFE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2"/>
        </w:rPr>
      </w:pP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14:paraId="0CFB8343">
      <w:r>
        <w:br w:type="page"/>
      </w:r>
    </w:p>
    <w:p w14:paraId="7DBCB953">
      <w:pPr>
        <w:pStyle w:val="4"/>
        <w:bidi w:val="0"/>
        <w:rPr>
          <w:rFonts w:hint="eastAsia"/>
        </w:rPr>
      </w:pPr>
      <w:bookmarkStart w:id="358" w:name="_Toc2493"/>
      <w:r>
        <w:rPr>
          <w:rFonts w:hint="eastAsia"/>
          <w:lang w:val="en-US" w:eastAsia="zh-CN"/>
        </w:rPr>
        <w:t>八</w:t>
      </w:r>
      <w:r>
        <w:rPr>
          <w:rFonts w:hint="eastAsia"/>
        </w:rPr>
        <w:t>、反商业贿赂承诺书</w:t>
      </w:r>
      <w:bookmarkEnd w:id="358"/>
    </w:p>
    <w:p w14:paraId="7D8A4F6D">
      <w:pPr>
        <w:keepNext w:val="0"/>
        <w:keepLines w:val="0"/>
        <w:pageBreakBefore w:val="0"/>
        <w:widowControl w:val="0"/>
        <w:tabs>
          <w:tab w:val="left" w:pos="7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我方承诺：</w:t>
      </w:r>
    </w:p>
    <w:p w14:paraId="13993DCE">
      <w:pPr>
        <w:keepNext w:val="0"/>
        <w:keepLines w:val="0"/>
        <w:pageBreakBefore w:val="0"/>
        <w:widowControl w:val="0"/>
        <w:tabs>
          <w:tab w:val="left" w:pos="7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在</w:t>
      </w:r>
      <w:r>
        <w:rPr>
          <w:rFonts w:hint="eastAsia" w:ascii="宋体" w:hAnsi="宋体" w:eastAsia="宋体" w:cs="宋体"/>
          <w:sz w:val="24"/>
          <w:szCs w:val="22"/>
          <w:u w:val="single"/>
        </w:rPr>
        <w:t xml:space="preserve">          </w:t>
      </w:r>
      <w:r>
        <w:rPr>
          <w:rFonts w:hint="eastAsia" w:ascii="宋体" w:hAnsi="宋体" w:eastAsia="宋体" w:cs="宋体"/>
          <w:sz w:val="24"/>
          <w:szCs w:val="22"/>
        </w:rPr>
        <w:t>（项目名称）磋商活动中，我方保证做到：</w:t>
      </w:r>
    </w:p>
    <w:p w14:paraId="3A0093BD">
      <w:pPr>
        <w:keepNext w:val="0"/>
        <w:keepLines w:val="0"/>
        <w:pageBreakBefore w:val="0"/>
        <w:widowControl w:val="0"/>
        <w:tabs>
          <w:tab w:val="left" w:pos="7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一、公平竞争参加本次磋商活动。</w:t>
      </w:r>
    </w:p>
    <w:p w14:paraId="693BFEFD">
      <w:pPr>
        <w:keepNext w:val="0"/>
        <w:keepLines w:val="0"/>
        <w:pageBreakBefore w:val="0"/>
        <w:widowControl w:val="0"/>
        <w:tabs>
          <w:tab w:val="left" w:pos="7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B7F35F3">
      <w:pPr>
        <w:keepNext w:val="0"/>
        <w:keepLines w:val="0"/>
        <w:pageBreakBefore w:val="0"/>
        <w:widowControl w:val="0"/>
        <w:tabs>
          <w:tab w:val="left" w:pos="7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三、若出现上述行为，我方及参与磋商的工作人员愿意接受按照国家法律法规等有关规定给予的处罚。</w:t>
      </w:r>
    </w:p>
    <w:p w14:paraId="7D01D6AB">
      <w:pPr>
        <w:keepNext w:val="0"/>
        <w:keepLines w:val="0"/>
        <w:pageBreakBefore w:val="0"/>
        <w:widowControl w:val="0"/>
        <w:tabs>
          <w:tab w:val="left" w:pos="7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p>
    <w:p w14:paraId="61B51F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0"/>
        </w:rPr>
      </w:pPr>
      <w:r>
        <w:rPr>
          <w:rFonts w:hint="eastAsia" w:ascii="宋体" w:hAnsi="宋体" w:eastAsia="宋体" w:cs="宋体"/>
          <w:sz w:val="24"/>
          <w:szCs w:val="20"/>
        </w:rPr>
        <w:t>响 应 人：</w:t>
      </w:r>
      <w:r>
        <w:rPr>
          <w:rFonts w:hint="eastAsia" w:ascii="宋体" w:hAnsi="宋体" w:eastAsia="宋体" w:cs="宋体"/>
          <w:sz w:val="24"/>
          <w:szCs w:val="20"/>
          <w:u w:val="single"/>
        </w:rPr>
        <w:t xml:space="preserve">                      </w:t>
      </w:r>
      <w:r>
        <w:rPr>
          <w:rFonts w:hint="eastAsia" w:ascii="宋体" w:hAnsi="宋体" w:eastAsia="宋体" w:cs="宋体"/>
          <w:sz w:val="24"/>
          <w:szCs w:val="20"/>
        </w:rPr>
        <w:t>（盖单位公章）</w:t>
      </w:r>
    </w:p>
    <w:p w14:paraId="0DDE71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法定代表人或其委托代理人：</w:t>
      </w:r>
      <w:r>
        <w:rPr>
          <w:rFonts w:hint="eastAsia" w:ascii="宋体" w:hAnsi="宋体" w:eastAsia="宋体" w:cs="宋体"/>
          <w:sz w:val="24"/>
          <w:szCs w:val="20"/>
          <w:u w:val="single"/>
        </w:rPr>
        <w:t xml:space="preserve">        </w:t>
      </w:r>
      <w:r>
        <w:rPr>
          <w:rFonts w:hint="eastAsia" w:ascii="宋体" w:hAnsi="宋体" w:eastAsia="宋体" w:cs="宋体"/>
          <w:sz w:val="24"/>
          <w:szCs w:val="20"/>
        </w:rPr>
        <w:t>（签字或盖章）</w:t>
      </w:r>
    </w:p>
    <w:p w14:paraId="046DF9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0"/>
        </w:rPr>
      </w:pP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14:paraId="2E41F8E9">
      <w:pPr>
        <w:rPr>
          <w:sz w:val="24"/>
          <w:szCs w:val="22"/>
        </w:rPr>
      </w:pPr>
      <w:r>
        <w:rPr>
          <w:sz w:val="24"/>
          <w:szCs w:val="22"/>
        </w:rPr>
        <w:br w:type="page"/>
      </w:r>
    </w:p>
    <w:p w14:paraId="559AA5BF">
      <w:pPr>
        <w:pStyle w:val="4"/>
        <w:bidi w:val="0"/>
        <w:rPr>
          <w:rFonts w:hint="eastAsia"/>
        </w:rPr>
      </w:pPr>
      <w:bookmarkStart w:id="359" w:name="_Toc495424190"/>
      <w:bookmarkStart w:id="360" w:name="_Toc495425129"/>
      <w:bookmarkStart w:id="361" w:name="_Toc484089015"/>
      <w:bookmarkStart w:id="362" w:name="_Toc495424923"/>
      <w:bookmarkStart w:id="363" w:name="_Toc23518"/>
      <w:bookmarkStart w:id="364" w:name="_Toc15660"/>
      <w:r>
        <w:rPr>
          <w:rFonts w:hint="eastAsia"/>
          <w:lang w:val="en-US" w:eastAsia="zh-CN"/>
        </w:rPr>
        <w:t>九</w:t>
      </w:r>
      <w:r>
        <w:rPr>
          <w:rFonts w:hint="eastAsia"/>
        </w:rPr>
        <w:t>、</w:t>
      </w:r>
      <w:bookmarkEnd w:id="359"/>
      <w:bookmarkEnd w:id="360"/>
      <w:bookmarkEnd w:id="361"/>
      <w:bookmarkEnd w:id="362"/>
      <w:r>
        <w:rPr>
          <w:rFonts w:hint="eastAsia"/>
        </w:rPr>
        <w:t>拟投入的人员汇总表</w:t>
      </w:r>
      <w:bookmarkEnd w:id="363"/>
      <w:bookmarkEnd w:id="364"/>
    </w:p>
    <w:p w14:paraId="29530032">
      <w:pPr>
        <w:bidi w:val="0"/>
        <w:rPr>
          <w:rFonts w:hint="eastAsia"/>
        </w:rPr>
      </w:pPr>
      <w:r>
        <w:rPr>
          <w:rFonts w:hint="eastAsia"/>
        </w:rPr>
        <w:t>人员组成表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852"/>
        <w:gridCol w:w="748"/>
        <w:gridCol w:w="754"/>
        <w:gridCol w:w="855"/>
        <w:gridCol w:w="1200"/>
        <w:gridCol w:w="1271"/>
        <w:gridCol w:w="844"/>
        <w:gridCol w:w="810"/>
        <w:gridCol w:w="501"/>
      </w:tblGrid>
      <w:tr w14:paraId="4B0B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83" w:type="dxa"/>
            <w:noWrap w:val="0"/>
            <w:vAlign w:val="center"/>
          </w:tcPr>
          <w:p w14:paraId="53616B3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pacing w:val="20"/>
                <w:sz w:val="24"/>
                <w:szCs w:val="24"/>
              </w:rPr>
            </w:pPr>
            <w:r>
              <w:rPr>
                <w:rFonts w:hint="eastAsia" w:ascii="宋体" w:hAnsi="宋体" w:eastAsia="宋体" w:cs="宋体"/>
                <w:b/>
                <w:spacing w:val="20"/>
                <w:sz w:val="24"/>
                <w:szCs w:val="24"/>
              </w:rPr>
              <w:t>序号</w:t>
            </w:r>
          </w:p>
        </w:tc>
        <w:tc>
          <w:tcPr>
            <w:tcW w:w="852" w:type="dxa"/>
            <w:noWrap w:val="0"/>
            <w:vAlign w:val="center"/>
          </w:tcPr>
          <w:p w14:paraId="001440E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pacing w:val="20"/>
                <w:sz w:val="24"/>
                <w:szCs w:val="24"/>
              </w:rPr>
            </w:pPr>
            <w:r>
              <w:rPr>
                <w:rFonts w:hint="eastAsia" w:ascii="宋体" w:hAnsi="宋体" w:eastAsia="宋体" w:cs="宋体"/>
                <w:b/>
                <w:spacing w:val="20"/>
                <w:sz w:val="24"/>
                <w:szCs w:val="24"/>
              </w:rPr>
              <w:t>姓名</w:t>
            </w:r>
          </w:p>
        </w:tc>
        <w:tc>
          <w:tcPr>
            <w:tcW w:w="748" w:type="dxa"/>
            <w:noWrap w:val="0"/>
            <w:vAlign w:val="center"/>
          </w:tcPr>
          <w:p w14:paraId="7B622FF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pacing w:val="20"/>
                <w:sz w:val="24"/>
                <w:szCs w:val="24"/>
              </w:rPr>
            </w:pPr>
            <w:r>
              <w:rPr>
                <w:rFonts w:hint="eastAsia" w:ascii="宋体" w:hAnsi="宋体" w:eastAsia="宋体" w:cs="宋体"/>
                <w:b/>
                <w:spacing w:val="20"/>
                <w:sz w:val="24"/>
                <w:szCs w:val="24"/>
              </w:rPr>
              <w:t>性别</w:t>
            </w:r>
          </w:p>
        </w:tc>
        <w:tc>
          <w:tcPr>
            <w:tcW w:w="754" w:type="dxa"/>
            <w:noWrap w:val="0"/>
            <w:vAlign w:val="center"/>
          </w:tcPr>
          <w:p w14:paraId="203F5D5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pacing w:val="20"/>
                <w:sz w:val="24"/>
                <w:szCs w:val="24"/>
              </w:rPr>
            </w:pPr>
            <w:r>
              <w:rPr>
                <w:rFonts w:hint="eastAsia" w:ascii="宋体" w:hAnsi="宋体" w:eastAsia="宋体" w:cs="宋体"/>
                <w:b/>
                <w:spacing w:val="20"/>
                <w:sz w:val="24"/>
                <w:szCs w:val="24"/>
              </w:rPr>
              <w:t>年龄</w:t>
            </w:r>
          </w:p>
        </w:tc>
        <w:tc>
          <w:tcPr>
            <w:tcW w:w="855" w:type="dxa"/>
            <w:noWrap w:val="0"/>
            <w:vAlign w:val="center"/>
          </w:tcPr>
          <w:p w14:paraId="084CC23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pacing w:val="20"/>
                <w:sz w:val="24"/>
                <w:szCs w:val="24"/>
              </w:rPr>
            </w:pPr>
            <w:r>
              <w:rPr>
                <w:rFonts w:hint="eastAsia" w:ascii="宋体" w:hAnsi="宋体" w:eastAsia="宋体" w:cs="宋体"/>
                <w:b/>
                <w:spacing w:val="20"/>
                <w:sz w:val="24"/>
                <w:szCs w:val="24"/>
              </w:rPr>
              <w:t>职称</w:t>
            </w:r>
          </w:p>
        </w:tc>
        <w:tc>
          <w:tcPr>
            <w:tcW w:w="1200" w:type="dxa"/>
            <w:noWrap w:val="0"/>
            <w:vAlign w:val="center"/>
          </w:tcPr>
          <w:p w14:paraId="6183633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pacing w:val="20"/>
                <w:sz w:val="24"/>
                <w:szCs w:val="24"/>
              </w:rPr>
            </w:pPr>
            <w:r>
              <w:rPr>
                <w:rFonts w:hint="eastAsia" w:ascii="宋体" w:hAnsi="宋体" w:eastAsia="宋体" w:cs="宋体"/>
                <w:b/>
                <w:spacing w:val="20"/>
                <w:sz w:val="24"/>
                <w:szCs w:val="24"/>
              </w:rPr>
              <w:t>担任</w:t>
            </w:r>
          </w:p>
          <w:p w14:paraId="2B692B9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pacing w:val="20"/>
                <w:sz w:val="24"/>
                <w:szCs w:val="24"/>
              </w:rPr>
            </w:pPr>
            <w:r>
              <w:rPr>
                <w:rFonts w:hint="eastAsia" w:ascii="宋体" w:hAnsi="宋体" w:eastAsia="宋体" w:cs="宋体"/>
                <w:b/>
                <w:spacing w:val="20"/>
                <w:sz w:val="24"/>
                <w:szCs w:val="24"/>
              </w:rPr>
              <w:t>的职务</w:t>
            </w:r>
          </w:p>
        </w:tc>
        <w:tc>
          <w:tcPr>
            <w:tcW w:w="1271" w:type="dxa"/>
            <w:noWrap w:val="0"/>
            <w:vAlign w:val="center"/>
          </w:tcPr>
          <w:p w14:paraId="14A39B7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pacing w:val="20"/>
                <w:sz w:val="24"/>
                <w:szCs w:val="24"/>
              </w:rPr>
            </w:pPr>
            <w:r>
              <w:rPr>
                <w:rFonts w:hint="eastAsia" w:ascii="宋体" w:hAnsi="宋体" w:eastAsia="宋体" w:cs="宋体"/>
                <w:b/>
                <w:spacing w:val="20"/>
                <w:sz w:val="24"/>
                <w:szCs w:val="24"/>
              </w:rPr>
              <w:t>岗位情况</w:t>
            </w:r>
          </w:p>
        </w:tc>
        <w:tc>
          <w:tcPr>
            <w:tcW w:w="844" w:type="dxa"/>
            <w:noWrap w:val="0"/>
            <w:vAlign w:val="center"/>
          </w:tcPr>
          <w:p w14:paraId="535F32C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pacing w:val="20"/>
                <w:sz w:val="24"/>
                <w:szCs w:val="24"/>
              </w:rPr>
            </w:pPr>
            <w:r>
              <w:rPr>
                <w:rFonts w:hint="eastAsia" w:ascii="宋体" w:hAnsi="宋体" w:eastAsia="宋体" w:cs="宋体"/>
                <w:b/>
                <w:spacing w:val="20"/>
                <w:sz w:val="24"/>
                <w:szCs w:val="24"/>
              </w:rPr>
              <w:t>工作经验</w:t>
            </w:r>
          </w:p>
        </w:tc>
        <w:tc>
          <w:tcPr>
            <w:tcW w:w="1311" w:type="dxa"/>
            <w:gridSpan w:val="2"/>
            <w:noWrap w:val="0"/>
            <w:vAlign w:val="center"/>
          </w:tcPr>
          <w:p w14:paraId="7F389BB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pacing w:val="20"/>
                <w:sz w:val="24"/>
                <w:szCs w:val="24"/>
              </w:rPr>
            </w:pPr>
            <w:r>
              <w:rPr>
                <w:rFonts w:hint="eastAsia" w:ascii="宋体" w:hAnsi="宋体" w:eastAsia="宋体" w:cs="宋体"/>
                <w:b/>
                <w:spacing w:val="20"/>
                <w:sz w:val="24"/>
                <w:szCs w:val="24"/>
              </w:rPr>
              <w:t>备注</w:t>
            </w:r>
          </w:p>
        </w:tc>
      </w:tr>
      <w:tr w14:paraId="454D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3" w:type="dxa"/>
            <w:noWrap w:val="0"/>
            <w:vAlign w:val="center"/>
          </w:tcPr>
          <w:p w14:paraId="407A6F5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1</w:t>
            </w:r>
          </w:p>
        </w:tc>
        <w:tc>
          <w:tcPr>
            <w:tcW w:w="852" w:type="dxa"/>
            <w:noWrap w:val="0"/>
            <w:vAlign w:val="center"/>
          </w:tcPr>
          <w:p w14:paraId="767CC34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748" w:type="dxa"/>
            <w:noWrap w:val="0"/>
            <w:vAlign w:val="center"/>
          </w:tcPr>
          <w:p w14:paraId="311574C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754" w:type="dxa"/>
            <w:noWrap w:val="0"/>
            <w:vAlign w:val="center"/>
          </w:tcPr>
          <w:p w14:paraId="0ED0515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855" w:type="dxa"/>
            <w:noWrap w:val="0"/>
            <w:vAlign w:val="center"/>
          </w:tcPr>
          <w:p w14:paraId="3025B0A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1200" w:type="dxa"/>
            <w:noWrap w:val="0"/>
            <w:vAlign w:val="center"/>
          </w:tcPr>
          <w:p w14:paraId="79DBBAE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1271" w:type="dxa"/>
            <w:noWrap w:val="0"/>
            <w:vAlign w:val="center"/>
          </w:tcPr>
          <w:p w14:paraId="41B595A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844" w:type="dxa"/>
            <w:noWrap w:val="0"/>
            <w:vAlign w:val="center"/>
          </w:tcPr>
          <w:p w14:paraId="0D7416F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810" w:type="dxa"/>
            <w:noWrap w:val="0"/>
            <w:vAlign w:val="center"/>
          </w:tcPr>
          <w:p w14:paraId="48B3416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501" w:type="dxa"/>
            <w:noWrap w:val="0"/>
            <w:vAlign w:val="center"/>
          </w:tcPr>
          <w:p w14:paraId="0295E71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r>
      <w:tr w14:paraId="433C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3" w:type="dxa"/>
            <w:noWrap w:val="0"/>
            <w:vAlign w:val="center"/>
          </w:tcPr>
          <w:p w14:paraId="7723F17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2</w:t>
            </w:r>
          </w:p>
        </w:tc>
        <w:tc>
          <w:tcPr>
            <w:tcW w:w="852" w:type="dxa"/>
            <w:noWrap w:val="0"/>
            <w:vAlign w:val="center"/>
          </w:tcPr>
          <w:p w14:paraId="64C842B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748" w:type="dxa"/>
            <w:noWrap w:val="0"/>
            <w:vAlign w:val="center"/>
          </w:tcPr>
          <w:p w14:paraId="3168411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754" w:type="dxa"/>
            <w:noWrap w:val="0"/>
            <w:vAlign w:val="center"/>
          </w:tcPr>
          <w:p w14:paraId="5A547D6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855" w:type="dxa"/>
            <w:noWrap w:val="0"/>
            <w:vAlign w:val="center"/>
          </w:tcPr>
          <w:p w14:paraId="5056D49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1200" w:type="dxa"/>
            <w:noWrap w:val="0"/>
            <w:vAlign w:val="center"/>
          </w:tcPr>
          <w:p w14:paraId="60BEDC6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1271" w:type="dxa"/>
            <w:noWrap w:val="0"/>
            <w:vAlign w:val="center"/>
          </w:tcPr>
          <w:p w14:paraId="19B87A4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844" w:type="dxa"/>
            <w:noWrap w:val="0"/>
            <w:vAlign w:val="center"/>
          </w:tcPr>
          <w:p w14:paraId="4170672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810" w:type="dxa"/>
            <w:noWrap w:val="0"/>
            <w:vAlign w:val="center"/>
          </w:tcPr>
          <w:p w14:paraId="5BF1A20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501" w:type="dxa"/>
            <w:noWrap w:val="0"/>
            <w:vAlign w:val="center"/>
          </w:tcPr>
          <w:p w14:paraId="2F0985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r>
      <w:tr w14:paraId="542A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3" w:type="dxa"/>
            <w:noWrap w:val="0"/>
            <w:vAlign w:val="center"/>
          </w:tcPr>
          <w:p w14:paraId="080DECE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3</w:t>
            </w:r>
          </w:p>
        </w:tc>
        <w:tc>
          <w:tcPr>
            <w:tcW w:w="852" w:type="dxa"/>
            <w:noWrap w:val="0"/>
            <w:vAlign w:val="center"/>
          </w:tcPr>
          <w:p w14:paraId="1EC0D91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748" w:type="dxa"/>
            <w:noWrap w:val="0"/>
            <w:vAlign w:val="center"/>
          </w:tcPr>
          <w:p w14:paraId="729A544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754" w:type="dxa"/>
            <w:noWrap w:val="0"/>
            <w:vAlign w:val="center"/>
          </w:tcPr>
          <w:p w14:paraId="759C1DE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855" w:type="dxa"/>
            <w:noWrap w:val="0"/>
            <w:vAlign w:val="center"/>
          </w:tcPr>
          <w:p w14:paraId="5C6751D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1200" w:type="dxa"/>
            <w:noWrap w:val="0"/>
            <w:vAlign w:val="center"/>
          </w:tcPr>
          <w:p w14:paraId="02A8F35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1271" w:type="dxa"/>
            <w:noWrap w:val="0"/>
            <w:vAlign w:val="center"/>
          </w:tcPr>
          <w:p w14:paraId="5E26E0D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844" w:type="dxa"/>
            <w:noWrap w:val="0"/>
            <w:vAlign w:val="center"/>
          </w:tcPr>
          <w:p w14:paraId="7CD107B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810" w:type="dxa"/>
            <w:noWrap w:val="0"/>
            <w:vAlign w:val="center"/>
          </w:tcPr>
          <w:p w14:paraId="03B7374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501" w:type="dxa"/>
            <w:noWrap w:val="0"/>
            <w:vAlign w:val="center"/>
          </w:tcPr>
          <w:p w14:paraId="2894FC4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r>
      <w:tr w14:paraId="63DD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3" w:type="dxa"/>
            <w:noWrap w:val="0"/>
            <w:vAlign w:val="center"/>
          </w:tcPr>
          <w:p w14:paraId="6BDC5B1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w:t>
            </w:r>
          </w:p>
        </w:tc>
        <w:tc>
          <w:tcPr>
            <w:tcW w:w="852" w:type="dxa"/>
            <w:noWrap w:val="0"/>
            <w:vAlign w:val="center"/>
          </w:tcPr>
          <w:p w14:paraId="652E397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748" w:type="dxa"/>
            <w:noWrap w:val="0"/>
            <w:vAlign w:val="center"/>
          </w:tcPr>
          <w:p w14:paraId="6676D7D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754" w:type="dxa"/>
            <w:noWrap w:val="0"/>
            <w:vAlign w:val="center"/>
          </w:tcPr>
          <w:p w14:paraId="49A7084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855" w:type="dxa"/>
            <w:noWrap w:val="0"/>
            <w:vAlign w:val="center"/>
          </w:tcPr>
          <w:p w14:paraId="2E00292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1200" w:type="dxa"/>
            <w:noWrap w:val="0"/>
            <w:vAlign w:val="center"/>
          </w:tcPr>
          <w:p w14:paraId="34265AD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1271" w:type="dxa"/>
            <w:noWrap w:val="0"/>
            <w:vAlign w:val="center"/>
          </w:tcPr>
          <w:p w14:paraId="2EEE00A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844" w:type="dxa"/>
            <w:noWrap w:val="0"/>
            <w:vAlign w:val="center"/>
          </w:tcPr>
          <w:p w14:paraId="12EDB45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810" w:type="dxa"/>
            <w:noWrap w:val="0"/>
            <w:vAlign w:val="center"/>
          </w:tcPr>
          <w:p w14:paraId="6A82B13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c>
          <w:tcPr>
            <w:tcW w:w="501" w:type="dxa"/>
            <w:noWrap w:val="0"/>
            <w:vAlign w:val="center"/>
          </w:tcPr>
          <w:p w14:paraId="2F5BA0E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pacing w:val="20"/>
                <w:sz w:val="24"/>
                <w:szCs w:val="24"/>
              </w:rPr>
            </w:pPr>
          </w:p>
        </w:tc>
      </w:tr>
      <w:tr w14:paraId="2E7A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83" w:type="dxa"/>
            <w:noWrap w:val="0"/>
            <w:vAlign w:val="center"/>
          </w:tcPr>
          <w:p w14:paraId="23663C2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w:t>
            </w:r>
          </w:p>
        </w:tc>
        <w:tc>
          <w:tcPr>
            <w:tcW w:w="852" w:type="dxa"/>
            <w:noWrap w:val="0"/>
            <w:vAlign w:val="center"/>
          </w:tcPr>
          <w:p w14:paraId="18240F5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20"/>
                <w:sz w:val="24"/>
                <w:szCs w:val="24"/>
              </w:rPr>
            </w:pPr>
          </w:p>
        </w:tc>
        <w:tc>
          <w:tcPr>
            <w:tcW w:w="748" w:type="dxa"/>
            <w:noWrap w:val="0"/>
            <w:vAlign w:val="center"/>
          </w:tcPr>
          <w:p w14:paraId="072D8EA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20"/>
                <w:sz w:val="24"/>
                <w:szCs w:val="24"/>
              </w:rPr>
            </w:pPr>
          </w:p>
        </w:tc>
        <w:tc>
          <w:tcPr>
            <w:tcW w:w="754" w:type="dxa"/>
            <w:noWrap w:val="0"/>
            <w:vAlign w:val="center"/>
          </w:tcPr>
          <w:p w14:paraId="20A5850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20"/>
                <w:sz w:val="24"/>
                <w:szCs w:val="24"/>
              </w:rPr>
            </w:pPr>
          </w:p>
        </w:tc>
        <w:tc>
          <w:tcPr>
            <w:tcW w:w="855" w:type="dxa"/>
            <w:noWrap w:val="0"/>
            <w:vAlign w:val="center"/>
          </w:tcPr>
          <w:p w14:paraId="439D4F3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20"/>
                <w:sz w:val="24"/>
                <w:szCs w:val="24"/>
              </w:rPr>
            </w:pPr>
          </w:p>
        </w:tc>
        <w:tc>
          <w:tcPr>
            <w:tcW w:w="1200" w:type="dxa"/>
            <w:noWrap w:val="0"/>
            <w:vAlign w:val="center"/>
          </w:tcPr>
          <w:p w14:paraId="65BAE4D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20"/>
                <w:sz w:val="24"/>
                <w:szCs w:val="24"/>
              </w:rPr>
            </w:pPr>
          </w:p>
        </w:tc>
        <w:tc>
          <w:tcPr>
            <w:tcW w:w="1271" w:type="dxa"/>
            <w:noWrap w:val="0"/>
            <w:vAlign w:val="center"/>
          </w:tcPr>
          <w:p w14:paraId="37189FD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20"/>
                <w:sz w:val="24"/>
                <w:szCs w:val="24"/>
              </w:rPr>
            </w:pPr>
          </w:p>
        </w:tc>
        <w:tc>
          <w:tcPr>
            <w:tcW w:w="844" w:type="dxa"/>
            <w:noWrap w:val="0"/>
            <w:vAlign w:val="center"/>
          </w:tcPr>
          <w:p w14:paraId="195BE2D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20"/>
                <w:sz w:val="24"/>
                <w:szCs w:val="24"/>
              </w:rPr>
            </w:pPr>
          </w:p>
        </w:tc>
        <w:tc>
          <w:tcPr>
            <w:tcW w:w="810" w:type="dxa"/>
            <w:noWrap w:val="0"/>
            <w:vAlign w:val="center"/>
          </w:tcPr>
          <w:p w14:paraId="7B53BE3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20"/>
                <w:sz w:val="24"/>
                <w:szCs w:val="24"/>
              </w:rPr>
            </w:pPr>
          </w:p>
        </w:tc>
        <w:tc>
          <w:tcPr>
            <w:tcW w:w="501" w:type="dxa"/>
            <w:noWrap w:val="0"/>
            <w:vAlign w:val="center"/>
          </w:tcPr>
          <w:p w14:paraId="09DB8E2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pacing w:val="20"/>
                <w:sz w:val="24"/>
                <w:szCs w:val="24"/>
              </w:rPr>
            </w:pPr>
          </w:p>
        </w:tc>
      </w:tr>
    </w:tbl>
    <w:p w14:paraId="058341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合计共</w:t>
      </w:r>
      <w:r>
        <w:rPr>
          <w:rFonts w:hint="eastAsia" w:ascii="宋体" w:hAnsi="宋体" w:eastAsia="宋体" w:cs="宋体"/>
          <w:sz w:val="24"/>
          <w:szCs w:val="22"/>
          <w:u w:val="single"/>
        </w:rPr>
        <w:t xml:space="preserve">    </w:t>
      </w:r>
      <w:r>
        <w:rPr>
          <w:rFonts w:hint="eastAsia" w:ascii="宋体" w:hAnsi="宋体" w:eastAsia="宋体" w:cs="宋体"/>
          <w:sz w:val="24"/>
          <w:szCs w:val="22"/>
        </w:rPr>
        <w:t>人。</w:t>
      </w:r>
    </w:p>
    <w:p w14:paraId="7D0EA4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lang w:eastAsia="zh-CN"/>
        </w:rPr>
      </w:pPr>
    </w:p>
    <w:p w14:paraId="6402CD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2"/>
        </w:rPr>
      </w:pPr>
    </w:p>
    <w:p w14:paraId="466E57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0"/>
        </w:rPr>
      </w:pPr>
      <w:r>
        <w:rPr>
          <w:rFonts w:hint="eastAsia" w:ascii="宋体" w:hAnsi="宋体" w:eastAsia="宋体" w:cs="宋体"/>
          <w:sz w:val="24"/>
          <w:szCs w:val="20"/>
        </w:rPr>
        <w:t>响 应 人：</w:t>
      </w:r>
      <w:r>
        <w:rPr>
          <w:rFonts w:hint="eastAsia" w:ascii="宋体" w:hAnsi="宋体" w:eastAsia="宋体" w:cs="宋体"/>
          <w:sz w:val="24"/>
          <w:szCs w:val="20"/>
          <w:u w:val="single"/>
        </w:rPr>
        <w:t xml:space="preserve">                      </w:t>
      </w:r>
      <w:r>
        <w:rPr>
          <w:rFonts w:hint="eastAsia" w:ascii="宋体" w:hAnsi="宋体" w:eastAsia="宋体" w:cs="宋体"/>
          <w:sz w:val="24"/>
          <w:szCs w:val="20"/>
        </w:rPr>
        <w:t>（盖单位公章）</w:t>
      </w:r>
    </w:p>
    <w:p w14:paraId="5EE340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0"/>
        </w:rPr>
      </w:pPr>
      <w:r>
        <w:rPr>
          <w:rFonts w:hint="eastAsia" w:ascii="宋体" w:hAnsi="宋体" w:eastAsia="宋体" w:cs="宋体"/>
          <w:sz w:val="24"/>
          <w:szCs w:val="20"/>
        </w:rPr>
        <w:t>法定代表人或其委托代理人：</w:t>
      </w:r>
      <w:r>
        <w:rPr>
          <w:rFonts w:hint="eastAsia" w:ascii="宋体" w:hAnsi="宋体" w:eastAsia="宋体" w:cs="宋体"/>
          <w:sz w:val="24"/>
          <w:szCs w:val="20"/>
          <w:u w:val="single"/>
        </w:rPr>
        <w:t xml:space="preserve">        </w:t>
      </w:r>
      <w:r>
        <w:rPr>
          <w:rFonts w:hint="eastAsia" w:ascii="宋体" w:hAnsi="宋体" w:eastAsia="宋体" w:cs="宋体"/>
          <w:sz w:val="24"/>
          <w:szCs w:val="20"/>
        </w:rPr>
        <w:t>（签字或盖章）</w:t>
      </w:r>
    </w:p>
    <w:p w14:paraId="7716BF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0"/>
        </w:rPr>
      </w:pPr>
      <w:r>
        <w:rPr>
          <w:rFonts w:hint="eastAsia" w:ascii="宋体" w:hAnsi="宋体" w:eastAsia="宋体" w:cs="宋体"/>
          <w:sz w:val="24"/>
          <w:szCs w:val="20"/>
          <w:u w:val="single"/>
        </w:rPr>
        <w:t xml:space="preserve">        </w:t>
      </w:r>
      <w:r>
        <w:rPr>
          <w:rFonts w:hint="eastAsia" w:ascii="宋体" w:hAnsi="宋体" w:eastAsia="宋体" w:cs="宋体"/>
          <w:sz w:val="24"/>
          <w:szCs w:val="20"/>
        </w:rPr>
        <w:t>年</w:t>
      </w:r>
      <w:r>
        <w:rPr>
          <w:rFonts w:hint="eastAsia" w:ascii="宋体" w:hAnsi="宋体" w:eastAsia="宋体" w:cs="宋体"/>
          <w:sz w:val="24"/>
          <w:szCs w:val="20"/>
          <w:u w:val="single"/>
        </w:rPr>
        <w:t xml:space="preserve">        </w:t>
      </w:r>
      <w:r>
        <w:rPr>
          <w:rFonts w:hint="eastAsia" w:ascii="宋体" w:hAnsi="宋体" w:eastAsia="宋体" w:cs="宋体"/>
          <w:sz w:val="24"/>
          <w:szCs w:val="20"/>
        </w:rPr>
        <w:t>月</w:t>
      </w:r>
      <w:r>
        <w:rPr>
          <w:rFonts w:hint="eastAsia" w:ascii="宋体" w:hAnsi="宋体" w:eastAsia="宋体" w:cs="宋体"/>
          <w:sz w:val="24"/>
          <w:szCs w:val="20"/>
          <w:u w:val="single"/>
        </w:rPr>
        <w:t xml:space="preserve">        </w:t>
      </w:r>
      <w:r>
        <w:rPr>
          <w:rFonts w:hint="eastAsia" w:ascii="宋体" w:hAnsi="宋体" w:eastAsia="宋体" w:cs="宋体"/>
          <w:sz w:val="24"/>
          <w:szCs w:val="20"/>
        </w:rPr>
        <w:t>日</w:t>
      </w:r>
    </w:p>
    <w:p w14:paraId="6E51624C">
      <w:pPr>
        <w:rPr>
          <w:rFonts w:hint="eastAsia" w:ascii="宋体" w:hAnsi="宋体" w:eastAsia="宋体" w:cs="宋体"/>
          <w:sz w:val="24"/>
          <w:szCs w:val="20"/>
        </w:rPr>
      </w:pPr>
      <w:r>
        <w:rPr>
          <w:rFonts w:hint="eastAsia" w:ascii="宋体" w:hAnsi="宋体" w:eastAsia="宋体" w:cs="宋体"/>
          <w:sz w:val="24"/>
          <w:szCs w:val="20"/>
        </w:rPr>
        <w:br w:type="page"/>
      </w:r>
    </w:p>
    <w:p w14:paraId="43D134B7">
      <w:pPr>
        <w:pStyle w:val="4"/>
        <w:bidi w:val="0"/>
        <w:rPr>
          <w:rFonts w:hint="eastAsia"/>
        </w:rPr>
      </w:pPr>
      <w:bookmarkStart w:id="365" w:name="_Toc20770"/>
      <w:bookmarkStart w:id="366" w:name="_Toc2544"/>
      <w:r>
        <w:rPr>
          <w:rFonts w:hint="eastAsia"/>
        </w:rPr>
        <w:t>十、</w:t>
      </w:r>
      <w:bookmarkEnd w:id="365"/>
      <w:bookmarkStart w:id="367" w:name="_Toc4835"/>
      <w:r>
        <w:rPr>
          <w:rFonts w:hint="eastAsia"/>
        </w:rPr>
        <w:t>近年类似项目业绩</w:t>
      </w:r>
      <w:bookmarkEnd w:id="366"/>
      <w:bookmarkEnd w:id="367"/>
    </w:p>
    <w:p w14:paraId="1C26C1B6">
      <w:pPr>
        <w:rPr>
          <w:rFonts w:hint="eastAsia" w:ascii="宋体" w:hAnsi="宋体" w:eastAsia="宋体" w:cs="宋体"/>
        </w:rPr>
      </w:pPr>
    </w:p>
    <w:tbl>
      <w:tblPr>
        <w:tblStyle w:val="23"/>
        <w:tblW w:w="0" w:type="auto"/>
        <w:jc w:val="center"/>
        <w:tblLayout w:type="fixed"/>
        <w:tblCellMar>
          <w:top w:w="0" w:type="dxa"/>
          <w:left w:w="108" w:type="dxa"/>
          <w:bottom w:w="0" w:type="dxa"/>
          <w:right w:w="108" w:type="dxa"/>
        </w:tblCellMar>
      </w:tblPr>
      <w:tblGrid>
        <w:gridCol w:w="1478"/>
        <w:gridCol w:w="1485"/>
        <w:gridCol w:w="1485"/>
        <w:gridCol w:w="1136"/>
        <w:gridCol w:w="1092"/>
        <w:gridCol w:w="852"/>
      </w:tblGrid>
      <w:tr w14:paraId="6380681B">
        <w:tblPrEx>
          <w:tblCellMar>
            <w:top w:w="0" w:type="dxa"/>
            <w:left w:w="108" w:type="dxa"/>
            <w:bottom w:w="0" w:type="dxa"/>
            <w:right w:w="108" w:type="dxa"/>
          </w:tblCellMar>
        </w:tblPrEx>
        <w:trPr>
          <w:trHeight w:val="939" w:hRule="atLeast"/>
          <w:jc w:val="center"/>
        </w:trPr>
        <w:tc>
          <w:tcPr>
            <w:tcW w:w="1478" w:type="dxa"/>
            <w:tcBorders>
              <w:top w:val="single" w:color="000000" w:sz="2" w:space="0"/>
              <w:left w:val="single" w:color="000000" w:sz="2" w:space="0"/>
              <w:bottom w:val="single" w:color="000000" w:sz="2" w:space="0"/>
              <w:right w:val="single" w:color="000000" w:sz="2" w:space="0"/>
            </w:tcBorders>
            <w:noWrap w:val="0"/>
            <w:vAlign w:val="center"/>
          </w:tcPr>
          <w:p w14:paraId="6A7D3107">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年份</w:t>
            </w:r>
          </w:p>
        </w:tc>
        <w:tc>
          <w:tcPr>
            <w:tcW w:w="1485" w:type="dxa"/>
            <w:tcBorders>
              <w:top w:val="single" w:color="000000" w:sz="2" w:space="0"/>
              <w:left w:val="single" w:color="000000" w:sz="2" w:space="0"/>
              <w:bottom w:val="single" w:color="000000" w:sz="2" w:space="0"/>
              <w:right w:val="single" w:color="000000" w:sz="2" w:space="0"/>
            </w:tcBorders>
            <w:noWrap w:val="0"/>
            <w:vAlign w:val="center"/>
          </w:tcPr>
          <w:p w14:paraId="28BD9350">
            <w:pPr>
              <w:pStyle w:val="1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1485" w:type="dxa"/>
            <w:tcBorders>
              <w:top w:val="single" w:color="000000" w:sz="2" w:space="0"/>
              <w:left w:val="single" w:color="000000" w:sz="2" w:space="0"/>
              <w:bottom w:val="single" w:color="000000" w:sz="2" w:space="0"/>
              <w:right w:val="single" w:color="000000" w:sz="2" w:space="0"/>
            </w:tcBorders>
            <w:noWrap w:val="0"/>
            <w:vAlign w:val="center"/>
          </w:tcPr>
          <w:p w14:paraId="6D1EB6FE">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单位名称</w:t>
            </w:r>
          </w:p>
        </w:tc>
        <w:tc>
          <w:tcPr>
            <w:tcW w:w="1136" w:type="dxa"/>
            <w:tcBorders>
              <w:top w:val="single" w:color="000000" w:sz="2" w:space="0"/>
              <w:left w:val="single" w:color="000000" w:sz="2" w:space="0"/>
              <w:bottom w:val="single" w:color="000000" w:sz="2" w:space="0"/>
              <w:right w:val="single" w:color="000000" w:sz="2" w:space="0"/>
            </w:tcBorders>
            <w:noWrap w:val="0"/>
            <w:vAlign w:val="center"/>
          </w:tcPr>
          <w:p w14:paraId="3B5D15FD">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合同总价</w:t>
            </w:r>
          </w:p>
        </w:tc>
        <w:tc>
          <w:tcPr>
            <w:tcW w:w="1092" w:type="dxa"/>
            <w:tcBorders>
              <w:top w:val="single" w:color="000000" w:sz="2" w:space="0"/>
              <w:left w:val="single" w:color="000000" w:sz="2" w:space="0"/>
              <w:bottom w:val="single" w:color="000000" w:sz="2" w:space="0"/>
              <w:right w:val="single" w:color="000000" w:sz="2" w:space="0"/>
            </w:tcBorders>
            <w:noWrap w:val="0"/>
            <w:vAlign w:val="center"/>
          </w:tcPr>
          <w:p w14:paraId="03B5E64D">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单位联系电话</w:t>
            </w:r>
          </w:p>
        </w:tc>
        <w:tc>
          <w:tcPr>
            <w:tcW w:w="852" w:type="dxa"/>
            <w:tcBorders>
              <w:top w:val="single" w:color="000000" w:sz="2" w:space="0"/>
              <w:left w:val="single" w:color="000000" w:sz="2" w:space="0"/>
              <w:bottom w:val="single" w:color="000000" w:sz="2" w:space="0"/>
              <w:right w:val="single" w:color="000000" w:sz="2" w:space="0"/>
            </w:tcBorders>
            <w:noWrap w:val="0"/>
            <w:vAlign w:val="center"/>
          </w:tcPr>
          <w:p w14:paraId="7EEAE37E">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备注</w:t>
            </w:r>
          </w:p>
        </w:tc>
      </w:tr>
      <w:tr w14:paraId="24B7E022">
        <w:tblPrEx>
          <w:tblCellMar>
            <w:top w:w="0" w:type="dxa"/>
            <w:left w:w="108" w:type="dxa"/>
            <w:bottom w:w="0" w:type="dxa"/>
            <w:right w:w="108" w:type="dxa"/>
          </w:tblCellMar>
        </w:tblPrEx>
        <w:trPr>
          <w:trHeight w:val="679" w:hRule="atLeast"/>
          <w:jc w:val="center"/>
        </w:trPr>
        <w:tc>
          <w:tcPr>
            <w:tcW w:w="1478" w:type="dxa"/>
            <w:tcBorders>
              <w:top w:val="single" w:color="000000" w:sz="2" w:space="0"/>
              <w:left w:val="single" w:color="000000" w:sz="2" w:space="0"/>
              <w:bottom w:val="single" w:color="000000" w:sz="2" w:space="0"/>
              <w:right w:val="single" w:color="000000" w:sz="2" w:space="0"/>
            </w:tcBorders>
            <w:noWrap w:val="0"/>
            <w:vAlign w:val="center"/>
          </w:tcPr>
          <w:p w14:paraId="0C40563C">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 xml:space="preserve">   年</w:t>
            </w:r>
          </w:p>
        </w:tc>
        <w:tc>
          <w:tcPr>
            <w:tcW w:w="1485" w:type="dxa"/>
            <w:tcBorders>
              <w:top w:val="single" w:color="000000" w:sz="2" w:space="0"/>
              <w:left w:val="single" w:color="000000" w:sz="2" w:space="0"/>
              <w:bottom w:val="single" w:color="000000" w:sz="2" w:space="0"/>
              <w:right w:val="single" w:color="000000" w:sz="2" w:space="0"/>
            </w:tcBorders>
            <w:noWrap w:val="0"/>
            <w:vAlign w:val="center"/>
          </w:tcPr>
          <w:p w14:paraId="227E3369">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1485" w:type="dxa"/>
            <w:tcBorders>
              <w:top w:val="single" w:color="000000" w:sz="2" w:space="0"/>
              <w:left w:val="single" w:color="000000" w:sz="2" w:space="0"/>
              <w:bottom w:val="single" w:color="000000" w:sz="2" w:space="0"/>
              <w:right w:val="single" w:color="000000" w:sz="2" w:space="0"/>
            </w:tcBorders>
            <w:noWrap w:val="0"/>
            <w:vAlign w:val="center"/>
          </w:tcPr>
          <w:p w14:paraId="50B3DD9E">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1136" w:type="dxa"/>
            <w:tcBorders>
              <w:top w:val="single" w:color="000000" w:sz="2" w:space="0"/>
              <w:left w:val="single" w:color="000000" w:sz="2" w:space="0"/>
              <w:bottom w:val="single" w:color="000000" w:sz="2" w:space="0"/>
              <w:right w:val="single" w:color="000000" w:sz="2" w:space="0"/>
            </w:tcBorders>
            <w:noWrap w:val="0"/>
            <w:vAlign w:val="center"/>
          </w:tcPr>
          <w:p w14:paraId="6CA88120">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1092" w:type="dxa"/>
            <w:tcBorders>
              <w:top w:val="single" w:color="000000" w:sz="2" w:space="0"/>
              <w:left w:val="single" w:color="000000" w:sz="2" w:space="0"/>
              <w:bottom w:val="single" w:color="000000" w:sz="2" w:space="0"/>
              <w:right w:val="single" w:color="000000" w:sz="2" w:space="0"/>
            </w:tcBorders>
            <w:noWrap w:val="0"/>
            <w:vAlign w:val="center"/>
          </w:tcPr>
          <w:p w14:paraId="1EA3847A">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852" w:type="dxa"/>
            <w:tcBorders>
              <w:top w:val="single" w:color="000000" w:sz="2" w:space="0"/>
              <w:left w:val="single" w:color="000000" w:sz="2" w:space="0"/>
              <w:bottom w:val="single" w:color="000000" w:sz="2" w:space="0"/>
              <w:right w:val="single" w:color="000000" w:sz="2" w:space="0"/>
            </w:tcBorders>
            <w:noWrap w:val="0"/>
            <w:vAlign w:val="center"/>
          </w:tcPr>
          <w:p w14:paraId="012A1B58">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r>
      <w:tr w14:paraId="7C3E95F2">
        <w:tblPrEx>
          <w:tblCellMar>
            <w:top w:w="0" w:type="dxa"/>
            <w:left w:w="108" w:type="dxa"/>
            <w:bottom w:w="0" w:type="dxa"/>
            <w:right w:w="108" w:type="dxa"/>
          </w:tblCellMar>
        </w:tblPrEx>
        <w:trPr>
          <w:trHeight w:val="687" w:hRule="atLeast"/>
          <w:jc w:val="center"/>
        </w:trPr>
        <w:tc>
          <w:tcPr>
            <w:tcW w:w="1478" w:type="dxa"/>
            <w:tcBorders>
              <w:top w:val="single" w:color="000000" w:sz="2" w:space="0"/>
              <w:left w:val="single" w:color="000000" w:sz="2" w:space="0"/>
              <w:bottom w:val="single" w:color="000000" w:sz="2" w:space="0"/>
              <w:right w:val="single" w:color="000000" w:sz="2" w:space="0"/>
            </w:tcBorders>
            <w:noWrap w:val="0"/>
            <w:vAlign w:val="center"/>
          </w:tcPr>
          <w:p w14:paraId="05825613">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1485" w:type="dxa"/>
            <w:tcBorders>
              <w:top w:val="single" w:color="000000" w:sz="2" w:space="0"/>
              <w:left w:val="single" w:color="000000" w:sz="2" w:space="0"/>
              <w:bottom w:val="single" w:color="000000" w:sz="2" w:space="0"/>
              <w:right w:val="single" w:color="000000" w:sz="2" w:space="0"/>
            </w:tcBorders>
            <w:noWrap w:val="0"/>
            <w:vAlign w:val="center"/>
          </w:tcPr>
          <w:p w14:paraId="321099B1">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1485" w:type="dxa"/>
            <w:tcBorders>
              <w:top w:val="single" w:color="000000" w:sz="2" w:space="0"/>
              <w:left w:val="single" w:color="000000" w:sz="2" w:space="0"/>
              <w:bottom w:val="single" w:color="000000" w:sz="2" w:space="0"/>
              <w:right w:val="single" w:color="000000" w:sz="2" w:space="0"/>
            </w:tcBorders>
            <w:noWrap w:val="0"/>
            <w:vAlign w:val="center"/>
          </w:tcPr>
          <w:p w14:paraId="4FE876CD">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1136" w:type="dxa"/>
            <w:tcBorders>
              <w:top w:val="single" w:color="000000" w:sz="2" w:space="0"/>
              <w:left w:val="single" w:color="000000" w:sz="2" w:space="0"/>
              <w:bottom w:val="single" w:color="000000" w:sz="2" w:space="0"/>
              <w:right w:val="single" w:color="000000" w:sz="2" w:space="0"/>
            </w:tcBorders>
            <w:noWrap w:val="0"/>
            <w:vAlign w:val="center"/>
          </w:tcPr>
          <w:p w14:paraId="44CF6D0A">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1092" w:type="dxa"/>
            <w:tcBorders>
              <w:top w:val="single" w:color="000000" w:sz="2" w:space="0"/>
              <w:left w:val="single" w:color="000000" w:sz="2" w:space="0"/>
              <w:bottom w:val="single" w:color="000000" w:sz="2" w:space="0"/>
              <w:right w:val="single" w:color="000000" w:sz="2" w:space="0"/>
            </w:tcBorders>
            <w:noWrap w:val="0"/>
            <w:vAlign w:val="center"/>
          </w:tcPr>
          <w:p w14:paraId="5FF847FE">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852" w:type="dxa"/>
            <w:tcBorders>
              <w:top w:val="single" w:color="000000" w:sz="2" w:space="0"/>
              <w:left w:val="single" w:color="000000" w:sz="2" w:space="0"/>
              <w:bottom w:val="single" w:color="000000" w:sz="2" w:space="0"/>
              <w:right w:val="single" w:color="000000" w:sz="2" w:space="0"/>
            </w:tcBorders>
            <w:noWrap w:val="0"/>
            <w:vAlign w:val="center"/>
          </w:tcPr>
          <w:p w14:paraId="71BBE2B9">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r>
      <w:tr w14:paraId="59F9AD54">
        <w:tblPrEx>
          <w:tblCellMar>
            <w:top w:w="0" w:type="dxa"/>
            <w:left w:w="108" w:type="dxa"/>
            <w:bottom w:w="0" w:type="dxa"/>
            <w:right w:w="108" w:type="dxa"/>
          </w:tblCellMar>
        </w:tblPrEx>
        <w:trPr>
          <w:trHeight w:val="650" w:hRule="atLeast"/>
          <w:jc w:val="center"/>
        </w:trPr>
        <w:tc>
          <w:tcPr>
            <w:tcW w:w="1478" w:type="dxa"/>
            <w:tcBorders>
              <w:top w:val="single" w:color="000000" w:sz="2" w:space="0"/>
              <w:left w:val="single" w:color="000000" w:sz="2" w:space="0"/>
              <w:bottom w:val="single" w:color="000000" w:sz="2" w:space="0"/>
              <w:right w:val="single" w:color="000000" w:sz="2" w:space="0"/>
            </w:tcBorders>
            <w:noWrap w:val="0"/>
            <w:vAlign w:val="center"/>
          </w:tcPr>
          <w:p w14:paraId="632152AA">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 xml:space="preserve">   年</w:t>
            </w:r>
          </w:p>
        </w:tc>
        <w:tc>
          <w:tcPr>
            <w:tcW w:w="1485" w:type="dxa"/>
            <w:tcBorders>
              <w:top w:val="single" w:color="000000" w:sz="2" w:space="0"/>
              <w:left w:val="single" w:color="000000" w:sz="2" w:space="0"/>
              <w:bottom w:val="single" w:color="000000" w:sz="2" w:space="0"/>
              <w:right w:val="single" w:color="000000" w:sz="2" w:space="0"/>
            </w:tcBorders>
            <w:noWrap w:val="0"/>
            <w:vAlign w:val="center"/>
          </w:tcPr>
          <w:p w14:paraId="5F1603D2">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1485" w:type="dxa"/>
            <w:tcBorders>
              <w:top w:val="single" w:color="000000" w:sz="2" w:space="0"/>
              <w:left w:val="single" w:color="000000" w:sz="2" w:space="0"/>
              <w:bottom w:val="single" w:color="000000" w:sz="2" w:space="0"/>
              <w:right w:val="single" w:color="000000" w:sz="2" w:space="0"/>
            </w:tcBorders>
            <w:noWrap w:val="0"/>
            <w:vAlign w:val="center"/>
          </w:tcPr>
          <w:p w14:paraId="465E0A37">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1136" w:type="dxa"/>
            <w:tcBorders>
              <w:top w:val="single" w:color="000000" w:sz="2" w:space="0"/>
              <w:left w:val="single" w:color="000000" w:sz="2" w:space="0"/>
              <w:bottom w:val="single" w:color="000000" w:sz="2" w:space="0"/>
              <w:right w:val="single" w:color="000000" w:sz="2" w:space="0"/>
            </w:tcBorders>
            <w:noWrap w:val="0"/>
            <w:vAlign w:val="center"/>
          </w:tcPr>
          <w:p w14:paraId="75936F06">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1092" w:type="dxa"/>
            <w:tcBorders>
              <w:top w:val="single" w:color="000000" w:sz="2" w:space="0"/>
              <w:left w:val="single" w:color="000000" w:sz="2" w:space="0"/>
              <w:bottom w:val="single" w:color="000000" w:sz="2" w:space="0"/>
              <w:right w:val="single" w:color="000000" w:sz="2" w:space="0"/>
            </w:tcBorders>
            <w:noWrap w:val="0"/>
            <w:vAlign w:val="center"/>
          </w:tcPr>
          <w:p w14:paraId="2993434E">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852" w:type="dxa"/>
            <w:tcBorders>
              <w:top w:val="single" w:color="000000" w:sz="2" w:space="0"/>
              <w:left w:val="single" w:color="000000" w:sz="2" w:space="0"/>
              <w:bottom w:val="single" w:color="000000" w:sz="2" w:space="0"/>
              <w:right w:val="single" w:color="000000" w:sz="2" w:space="0"/>
            </w:tcBorders>
            <w:noWrap w:val="0"/>
            <w:vAlign w:val="center"/>
          </w:tcPr>
          <w:p w14:paraId="67F4287B">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r>
      <w:tr w14:paraId="62DEDFE2">
        <w:tblPrEx>
          <w:tblCellMar>
            <w:top w:w="0" w:type="dxa"/>
            <w:left w:w="108" w:type="dxa"/>
            <w:bottom w:w="0" w:type="dxa"/>
            <w:right w:w="108" w:type="dxa"/>
          </w:tblCellMar>
        </w:tblPrEx>
        <w:trPr>
          <w:trHeight w:val="603" w:hRule="atLeast"/>
          <w:jc w:val="center"/>
        </w:trPr>
        <w:tc>
          <w:tcPr>
            <w:tcW w:w="1478" w:type="dxa"/>
            <w:tcBorders>
              <w:top w:val="single" w:color="000000" w:sz="2" w:space="0"/>
              <w:left w:val="single" w:color="000000" w:sz="2" w:space="0"/>
              <w:bottom w:val="single" w:color="000000" w:sz="2" w:space="0"/>
              <w:right w:val="single" w:color="000000" w:sz="2" w:space="0"/>
            </w:tcBorders>
            <w:noWrap w:val="0"/>
            <w:vAlign w:val="center"/>
          </w:tcPr>
          <w:p w14:paraId="29506D34">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1485" w:type="dxa"/>
            <w:tcBorders>
              <w:top w:val="single" w:color="000000" w:sz="2" w:space="0"/>
              <w:left w:val="single" w:color="000000" w:sz="2" w:space="0"/>
              <w:bottom w:val="single" w:color="000000" w:sz="2" w:space="0"/>
              <w:right w:val="single" w:color="000000" w:sz="2" w:space="0"/>
            </w:tcBorders>
            <w:noWrap w:val="0"/>
            <w:vAlign w:val="center"/>
          </w:tcPr>
          <w:p w14:paraId="1C98F013">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1485" w:type="dxa"/>
            <w:tcBorders>
              <w:top w:val="single" w:color="000000" w:sz="2" w:space="0"/>
              <w:left w:val="single" w:color="000000" w:sz="2" w:space="0"/>
              <w:bottom w:val="single" w:color="000000" w:sz="2" w:space="0"/>
              <w:right w:val="single" w:color="000000" w:sz="2" w:space="0"/>
            </w:tcBorders>
            <w:noWrap w:val="0"/>
            <w:vAlign w:val="center"/>
          </w:tcPr>
          <w:p w14:paraId="5582120A">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1136" w:type="dxa"/>
            <w:tcBorders>
              <w:top w:val="single" w:color="000000" w:sz="2" w:space="0"/>
              <w:left w:val="single" w:color="000000" w:sz="2" w:space="0"/>
              <w:bottom w:val="single" w:color="000000" w:sz="2" w:space="0"/>
              <w:right w:val="single" w:color="000000" w:sz="2" w:space="0"/>
            </w:tcBorders>
            <w:noWrap w:val="0"/>
            <w:vAlign w:val="center"/>
          </w:tcPr>
          <w:p w14:paraId="22E9794D">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1092" w:type="dxa"/>
            <w:tcBorders>
              <w:top w:val="single" w:color="000000" w:sz="2" w:space="0"/>
              <w:left w:val="single" w:color="000000" w:sz="2" w:space="0"/>
              <w:bottom w:val="single" w:color="000000" w:sz="2" w:space="0"/>
              <w:right w:val="single" w:color="000000" w:sz="2" w:space="0"/>
            </w:tcBorders>
            <w:noWrap w:val="0"/>
            <w:vAlign w:val="center"/>
          </w:tcPr>
          <w:p w14:paraId="6D5DE89A">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852" w:type="dxa"/>
            <w:tcBorders>
              <w:top w:val="single" w:color="000000" w:sz="2" w:space="0"/>
              <w:left w:val="single" w:color="000000" w:sz="2" w:space="0"/>
              <w:bottom w:val="single" w:color="000000" w:sz="2" w:space="0"/>
              <w:right w:val="single" w:color="000000" w:sz="2" w:space="0"/>
            </w:tcBorders>
            <w:noWrap w:val="0"/>
            <w:vAlign w:val="center"/>
          </w:tcPr>
          <w:p w14:paraId="3BCCBC0C">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r>
      <w:tr w14:paraId="2060D3E5">
        <w:tblPrEx>
          <w:tblCellMar>
            <w:top w:w="0" w:type="dxa"/>
            <w:left w:w="108" w:type="dxa"/>
            <w:bottom w:w="0" w:type="dxa"/>
            <w:right w:w="108" w:type="dxa"/>
          </w:tblCellMar>
        </w:tblPrEx>
        <w:trPr>
          <w:trHeight w:val="692" w:hRule="atLeast"/>
          <w:jc w:val="center"/>
        </w:trPr>
        <w:tc>
          <w:tcPr>
            <w:tcW w:w="1478" w:type="dxa"/>
            <w:tcBorders>
              <w:top w:val="single" w:color="000000" w:sz="2" w:space="0"/>
              <w:left w:val="single" w:color="000000" w:sz="2" w:space="0"/>
              <w:bottom w:val="single" w:color="000000" w:sz="2" w:space="0"/>
              <w:right w:val="single" w:color="000000" w:sz="2" w:space="0"/>
            </w:tcBorders>
            <w:noWrap w:val="0"/>
            <w:vAlign w:val="center"/>
          </w:tcPr>
          <w:p w14:paraId="014592FB">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r>
              <w:rPr>
                <w:rFonts w:hint="eastAsia" w:ascii="宋体" w:hAnsi="宋体" w:eastAsia="宋体" w:cs="宋体"/>
                <w:kern w:val="1"/>
                <w:sz w:val="24"/>
                <w:szCs w:val="24"/>
              </w:rPr>
              <w:t>……</w:t>
            </w:r>
          </w:p>
        </w:tc>
        <w:tc>
          <w:tcPr>
            <w:tcW w:w="1485" w:type="dxa"/>
            <w:tcBorders>
              <w:top w:val="single" w:color="000000" w:sz="2" w:space="0"/>
              <w:left w:val="single" w:color="000000" w:sz="2" w:space="0"/>
              <w:bottom w:val="single" w:color="000000" w:sz="2" w:space="0"/>
              <w:right w:val="single" w:color="000000" w:sz="2" w:space="0"/>
            </w:tcBorders>
            <w:noWrap w:val="0"/>
            <w:vAlign w:val="center"/>
          </w:tcPr>
          <w:p w14:paraId="2F4A05A1">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1485" w:type="dxa"/>
            <w:tcBorders>
              <w:top w:val="single" w:color="000000" w:sz="2" w:space="0"/>
              <w:left w:val="single" w:color="000000" w:sz="2" w:space="0"/>
              <w:bottom w:val="single" w:color="000000" w:sz="2" w:space="0"/>
              <w:right w:val="single" w:color="000000" w:sz="2" w:space="0"/>
            </w:tcBorders>
            <w:noWrap w:val="0"/>
            <w:vAlign w:val="center"/>
          </w:tcPr>
          <w:p w14:paraId="111604C4">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1136" w:type="dxa"/>
            <w:tcBorders>
              <w:top w:val="single" w:color="000000" w:sz="2" w:space="0"/>
              <w:left w:val="single" w:color="000000" w:sz="2" w:space="0"/>
              <w:bottom w:val="single" w:color="000000" w:sz="2" w:space="0"/>
              <w:right w:val="single" w:color="000000" w:sz="2" w:space="0"/>
            </w:tcBorders>
            <w:noWrap w:val="0"/>
            <w:vAlign w:val="center"/>
          </w:tcPr>
          <w:p w14:paraId="36064D63">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1092" w:type="dxa"/>
            <w:tcBorders>
              <w:top w:val="single" w:color="000000" w:sz="2" w:space="0"/>
              <w:left w:val="single" w:color="000000" w:sz="2" w:space="0"/>
              <w:bottom w:val="single" w:color="000000" w:sz="2" w:space="0"/>
              <w:right w:val="single" w:color="000000" w:sz="2" w:space="0"/>
            </w:tcBorders>
            <w:noWrap w:val="0"/>
            <w:vAlign w:val="center"/>
          </w:tcPr>
          <w:p w14:paraId="1E239BA0">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c>
          <w:tcPr>
            <w:tcW w:w="852" w:type="dxa"/>
            <w:tcBorders>
              <w:top w:val="single" w:color="000000" w:sz="2" w:space="0"/>
              <w:left w:val="single" w:color="000000" w:sz="2" w:space="0"/>
              <w:bottom w:val="single" w:color="000000" w:sz="2" w:space="0"/>
              <w:right w:val="single" w:color="000000" w:sz="2" w:space="0"/>
            </w:tcBorders>
            <w:noWrap w:val="0"/>
            <w:vAlign w:val="center"/>
          </w:tcPr>
          <w:p w14:paraId="0AB61A1C">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宋体" w:hAnsi="宋体" w:eastAsia="宋体" w:cs="宋体"/>
                <w:kern w:val="1"/>
                <w:sz w:val="24"/>
                <w:szCs w:val="24"/>
              </w:rPr>
            </w:pPr>
          </w:p>
        </w:tc>
      </w:tr>
    </w:tbl>
    <w:p w14:paraId="05D1555C">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kern w:val="1"/>
          <w:sz w:val="24"/>
          <w:szCs w:val="20"/>
        </w:rPr>
      </w:pPr>
      <w:r>
        <w:rPr>
          <w:rFonts w:hint="eastAsia" w:ascii="宋体" w:hAnsi="宋体" w:eastAsia="宋体" w:cs="宋体"/>
          <w:kern w:val="1"/>
          <w:sz w:val="24"/>
          <w:szCs w:val="20"/>
        </w:rPr>
        <w:t>注：本表后</w:t>
      </w:r>
      <w:r>
        <w:rPr>
          <w:rFonts w:hint="eastAsia" w:ascii="宋体" w:hAnsi="宋体" w:eastAsia="宋体" w:cs="宋体"/>
          <w:kern w:val="1"/>
          <w:sz w:val="24"/>
          <w:szCs w:val="22"/>
        </w:rPr>
        <w:t>应附合同协议书的复印件（加盖单位公章</w:t>
      </w:r>
      <w:r>
        <w:rPr>
          <w:rFonts w:hint="eastAsia" w:ascii="宋体" w:hAnsi="宋体" w:eastAsia="宋体" w:cs="宋体"/>
          <w:kern w:val="1"/>
          <w:sz w:val="24"/>
          <w:szCs w:val="20"/>
        </w:rPr>
        <w:t>）</w:t>
      </w:r>
      <w:r>
        <w:rPr>
          <w:rFonts w:hint="eastAsia" w:ascii="宋体" w:hAnsi="宋体" w:eastAsia="宋体" w:cs="宋体"/>
          <w:kern w:val="1"/>
          <w:sz w:val="24"/>
          <w:szCs w:val="22"/>
        </w:rPr>
        <w:t>。</w:t>
      </w:r>
    </w:p>
    <w:p w14:paraId="2FCD5CA8">
      <w:pPr>
        <w:bidi w:val="0"/>
        <w:rPr>
          <w:rFonts w:hint="eastAsia" w:ascii="宋体" w:hAnsi="宋体" w:eastAsia="宋体" w:cs="宋体"/>
          <w:sz w:val="24"/>
          <w:szCs w:val="22"/>
        </w:rPr>
      </w:pPr>
    </w:p>
    <w:p w14:paraId="3FAA070E">
      <w:pPr>
        <w:bidi w:val="0"/>
        <w:rPr>
          <w:rFonts w:hint="eastAsia" w:ascii="宋体" w:hAnsi="宋体" w:eastAsia="宋体" w:cs="宋体"/>
          <w:sz w:val="24"/>
          <w:szCs w:val="22"/>
        </w:rPr>
      </w:pPr>
    </w:p>
    <w:p w14:paraId="423E544D">
      <w:pPr>
        <w:bidi w:val="0"/>
        <w:rPr>
          <w:rFonts w:hint="eastAsia" w:ascii="宋体" w:hAnsi="宋体" w:eastAsia="宋体" w:cs="宋体"/>
          <w:sz w:val="24"/>
          <w:szCs w:val="22"/>
        </w:rPr>
      </w:pPr>
      <w:r>
        <w:rPr>
          <w:rFonts w:hint="eastAsia" w:ascii="宋体" w:hAnsi="宋体" w:eastAsia="宋体" w:cs="宋体"/>
          <w:sz w:val="24"/>
          <w:szCs w:val="22"/>
        </w:rPr>
        <w:t>响应人：</w:t>
      </w:r>
      <w:r>
        <w:rPr>
          <w:rFonts w:hint="eastAsia" w:ascii="宋体" w:hAnsi="宋体" w:eastAsia="宋体" w:cs="宋体"/>
          <w:sz w:val="24"/>
          <w:szCs w:val="22"/>
          <w:u w:val="single"/>
        </w:rPr>
        <w:t xml:space="preserve">                      </w:t>
      </w:r>
      <w:r>
        <w:rPr>
          <w:rFonts w:hint="eastAsia" w:ascii="宋体" w:hAnsi="宋体" w:eastAsia="宋体" w:cs="宋体"/>
          <w:sz w:val="24"/>
          <w:szCs w:val="22"/>
        </w:rPr>
        <w:t>（盖单位公章）</w:t>
      </w:r>
    </w:p>
    <w:p w14:paraId="349B4932">
      <w:pPr>
        <w:bidi w:val="0"/>
        <w:rPr>
          <w:rFonts w:hint="eastAsia" w:ascii="宋体" w:hAnsi="宋体" w:eastAsia="宋体" w:cs="宋体"/>
          <w:sz w:val="24"/>
          <w:szCs w:val="22"/>
        </w:rPr>
      </w:pPr>
      <w:r>
        <w:rPr>
          <w:rFonts w:hint="eastAsia" w:ascii="宋体" w:hAnsi="宋体" w:eastAsia="宋体" w:cs="宋体"/>
          <w:sz w:val="24"/>
          <w:szCs w:val="22"/>
          <w:lang w:eastAsia="zh-CN"/>
        </w:rPr>
        <w:t>法</w:t>
      </w:r>
      <w:r>
        <w:rPr>
          <w:rFonts w:hint="eastAsia" w:ascii="宋体" w:hAnsi="宋体" w:eastAsia="宋体" w:cs="宋体"/>
          <w:sz w:val="24"/>
          <w:szCs w:val="22"/>
        </w:rPr>
        <w:t>定代表人或其委托代理人：</w:t>
      </w:r>
      <w:r>
        <w:rPr>
          <w:rFonts w:hint="eastAsia" w:ascii="宋体" w:hAnsi="宋体" w:eastAsia="宋体" w:cs="宋体"/>
          <w:sz w:val="24"/>
          <w:szCs w:val="22"/>
          <w:u w:val="single"/>
        </w:rPr>
        <w:t xml:space="preserve">          </w:t>
      </w:r>
      <w:r>
        <w:rPr>
          <w:rFonts w:hint="eastAsia" w:ascii="宋体" w:hAnsi="宋体" w:eastAsia="宋体" w:cs="宋体"/>
          <w:sz w:val="24"/>
          <w:szCs w:val="22"/>
        </w:rPr>
        <w:t>（签字）</w:t>
      </w:r>
    </w:p>
    <w:p w14:paraId="2B1FF229">
      <w:pPr>
        <w:bidi w:val="0"/>
        <w:rPr>
          <w:rFonts w:hint="eastAsia" w:ascii="宋体" w:hAnsi="宋体" w:eastAsia="宋体" w:cs="宋体"/>
          <w:sz w:val="24"/>
          <w:szCs w:val="22"/>
        </w:rPr>
      </w:pPr>
      <w:r>
        <w:rPr>
          <w:rFonts w:hint="eastAsia" w:ascii="宋体" w:hAnsi="宋体" w:eastAsia="宋体" w:cs="宋体"/>
          <w:sz w:val="24"/>
          <w:szCs w:val="22"/>
        </w:rPr>
        <w:t xml:space="preserve"> </w:t>
      </w:r>
      <w:r>
        <w:rPr>
          <w:rFonts w:hint="eastAsia" w:ascii="宋体" w:hAnsi="宋体" w:eastAsia="宋体" w:cs="宋体"/>
          <w:sz w:val="24"/>
          <w:szCs w:val="22"/>
          <w:u w:val="single"/>
        </w:rPr>
        <w:t xml:space="preserve">         </w:t>
      </w:r>
      <w:r>
        <w:rPr>
          <w:rFonts w:hint="eastAsia" w:ascii="宋体" w:hAnsi="宋体" w:eastAsia="宋体" w:cs="宋体"/>
          <w:sz w:val="24"/>
          <w:szCs w:val="22"/>
        </w:rPr>
        <w:t>年</w:t>
      </w:r>
      <w:r>
        <w:rPr>
          <w:rFonts w:hint="eastAsia" w:ascii="宋体" w:hAnsi="宋体" w:eastAsia="宋体" w:cs="宋体"/>
          <w:sz w:val="24"/>
          <w:szCs w:val="22"/>
          <w:u w:val="single"/>
        </w:rPr>
        <w:t xml:space="preserve">      </w:t>
      </w:r>
      <w:r>
        <w:rPr>
          <w:rFonts w:hint="eastAsia" w:ascii="宋体" w:hAnsi="宋体" w:eastAsia="宋体" w:cs="宋体"/>
          <w:sz w:val="24"/>
          <w:szCs w:val="22"/>
        </w:rPr>
        <w:t>月</w:t>
      </w:r>
      <w:r>
        <w:rPr>
          <w:rFonts w:hint="eastAsia" w:ascii="宋体" w:hAnsi="宋体" w:eastAsia="宋体" w:cs="宋体"/>
          <w:sz w:val="24"/>
          <w:szCs w:val="22"/>
          <w:u w:val="single"/>
        </w:rPr>
        <w:t xml:space="preserve">      </w:t>
      </w:r>
      <w:r>
        <w:rPr>
          <w:rFonts w:hint="eastAsia" w:ascii="宋体" w:hAnsi="宋体" w:eastAsia="宋体" w:cs="宋体"/>
          <w:sz w:val="24"/>
          <w:szCs w:val="22"/>
        </w:rPr>
        <w:t>日</w:t>
      </w:r>
      <w:r>
        <w:rPr>
          <w:rFonts w:hint="eastAsia" w:ascii="宋体" w:hAnsi="宋体" w:eastAsia="宋体" w:cs="宋体"/>
          <w:sz w:val="22"/>
          <w:szCs w:val="22"/>
        </w:rPr>
        <w:t>。</w:t>
      </w:r>
    </w:p>
    <w:p w14:paraId="33BCB71E">
      <w:pPr>
        <w:rPr>
          <w:sz w:val="24"/>
          <w:szCs w:val="22"/>
        </w:rPr>
      </w:pPr>
      <w:r>
        <w:rPr>
          <w:sz w:val="24"/>
          <w:szCs w:val="22"/>
        </w:rPr>
        <w:br w:type="page"/>
      </w:r>
    </w:p>
    <w:p w14:paraId="3C1D4B6C">
      <w:pPr>
        <w:pStyle w:val="4"/>
        <w:bidi w:val="0"/>
        <w:rPr>
          <w:rFonts w:hint="eastAsia"/>
        </w:rPr>
      </w:pPr>
      <w:bookmarkStart w:id="368" w:name="_Toc21893"/>
      <w:r>
        <w:rPr>
          <w:rFonts w:hint="eastAsia"/>
        </w:rPr>
        <w:t>十</w:t>
      </w:r>
      <w:r>
        <w:rPr>
          <w:rFonts w:hint="eastAsia"/>
          <w:lang w:val="en-US" w:eastAsia="zh-CN"/>
        </w:rPr>
        <w:t>一</w:t>
      </w:r>
      <w:r>
        <w:rPr>
          <w:rFonts w:hint="eastAsia"/>
        </w:rPr>
        <w:t>、其他材料</w:t>
      </w:r>
      <w:bookmarkEnd w:id="368"/>
    </w:p>
    <w:p w14:paraId="0D7D8A0B">
      <w:pPr>
        <w:jc w:val="left"/>
        <w:rPr>
          <w:rFonts w:hint="eastAsia" w:ascii="宋体" w:hAnsi="宋体" w:eastAsia="宋体" w:cs="宋体"/>
          <w:sz w:val="24"/>
          <w:szCs w:val="22"/>
        </w:rPr>
      </w:pPr>
      <w:r>
        <w:rPr>
          <w:rFonts w:hint="eastAsia" w:ascii="宋体" w:hAnsi="宋体" w:eastAsia="宋体" w:cs="宋体"/>
          <w:sz w:val="24"/>
          <w:szCs w:val="22"/>
        </w:rPr>
        <w:t>1.综合实力：响应人公司情况、财务情况、经营情况、技术力量</w:t>
      </w:r>
      <w:r>
        <w:rPr>
          <w:rFonts w:hint="eastAsia" w:cs="宋体"/>
          <w:sz w:val="24"/>
          <w:szCs w:val="22"/>
          <w:lang w:eastAsia="zh-CN"/>
        </w:rPr>
        <w:t>等介绍</w:t>
      </w:r>
    </w:p>
    <w:p w14:paraId="01C8D773">
      <w:pPr>
        <w:spacing w:line="360" w:lineRule="auto"/>
        <w:ind w:left="2"/>
        <w:rPr>
          <w:rFonts w:hint="eastAsia" w:ascii="宋体" w:hAnsi="宋体" w:eastAsia="宋体" w:cs="宋体"/>
          <w:sz w:val="24"/>
          <w:szCs w:val="22"/>
        </w:rPr>
      </w:pPr>
      <w:r>
        <w:rPr>
          <w:rFonts w:hint="eastAsia" w:ascii="宋体" w:hAnsi="宋体" w:eastAsia="宋体" w:cs="宋体"/>
          <w:sz w:val="24"/>
          <w:szCs w:val="22"/>
        </w:rPr>
        <w:t>2.售后服务及优惠条件（如能否提前交货、提前交货时间等）</w:t>
      </w:r>
    </w:p>
    <w:p w14:paraId="19D70F15">
      <w:pPr>
        <w:spacing w:line="360" w:lineRule="auto"/>
        <w:ind w:left="2"/>
        <w:jc w:val="center"/>
        <w:rPr>
          <w:rFonts w:hint="eastAsia" w:ascii="宋体" w:hAnsi="宋体" w:eastAsia="宋体" w:cs="宋体"/>
          <w:kern w:val="1"/>
          <w:szCs w:val="21"/>
        </w:rPr>
      </w:pPr>
      <w:r>
        <w:rPr>
          <w:rFonts w:hint="eastAsia" w:ascii="宋体" w:hAnsi="宋体" w:eastAsia="宋体" w:cs="宋体"/>
          <w:kern w:val="1"/>
          <w:szCs w:val="21"/>
        </w:rPr>
        <w:t>售后服务表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536"/>
      </w:tblGrid>
      <w:tr w14:paraId="71AB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394" w:type="dxa"/>
            <w:noWrap w:val="0"/>
            <w:vAlign w:val="center"/>
          </w:tcPr>
          <w:p w14:paraId="097870DD">
            <w:pPr>
              <w:spacing w:line="360" w:lineRule="auto"/>
              <w:ind w:left="2"/>
              <w:rPr>
                <w:rFonts w:hint="eastAsia" w:ascii="宋体" w:hAnsi="宋体" w:eastAsia="宋体" w:cs="宋体"/>
                <w:kern w:val="1"/>
                <w:sz w:val="24"/>
                <w:szCs w:val="24"/>
              </w:rPr>
            </w:pPr>
            <w:r>
              <w:rPr>
                <w:rFonts w:hint="eastAsia" w:ascii="宋体" w:hAnsi="宋体" w:eastAsia="宋体" w:cs="宋体"/>
                <w:kern w:val="1"/>
                <w:sz w:val="24"/>
                <w:szCs w:val="24"/>
              </w:rPr>
              <w:t>保 修 内 容</w:t>
            </w:r>
          </w:p>
        </w:tc>
        <w:tc>
          <w:tcPr>
            <w:tcW w:w="4536" w:type="dxa"/>
            <w:noWrap w:val="0"/>
            <w:vAlign w:val="center"/>
          </w:tcPr>
          <w:p w14:paraId="4B1414E3">
            <w:pPr>
              <w:spacing w:line="360" w:lineRule="auto"/>
              <w:ind w:left="2"/>
              <w:rPr>
                <w:rFonts w:hint="eastAsia" w:ascii="宋体" w:hAnsi="宋体" w:eastAsia="宋体" w:cs="宋体"/>
                <w:kern w:val="1"/>
                <w:sz w:val="24"/>
                <w:szCs w:val="24"/>
              </w:rPr>
            </w:pPr>
            <w:r>
              <w:rPr>
                <w:rFonts w:hint="eastAsia" w:ascii="宋体" w:hAnsi="宋体" w:eastAsia="宋体" w:cs="宋体"/>
                <w:kern w:val="1"/>
                <w:sz w:val="24"/>
                <w:szCs w:val="24"/>
              </w:rPr>
              <w:t>可提供的优惠条件</w:t>
            </w:r>
          </w:p>
        </w:tc>
      </w:tr>
      <w:tr w14:paraId="7A91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9" w:hRule="atLeast"/>
          <w:jc w:val="center"/>
        </w:trPr>
        <w:tc>
          <w:tcPr>
            <w:tcW w:w="4394" w:type="dxa"/>
            <w:noWrap w:val="0"/>
            <w:vAlign w:val="top"/>
          </w:tcPr>
          <w:p w14:paraId="2D72BEBA">
            <w:pPr>
              <w:spacing w:line="360" w:lineRule="auto"/>
              <w:ind w:left="2"/>
              <w:rPr>
                <w:rFonts w:hint="eastAsia" w:ascii="宋体" w:hAnsi="宋体" w:eastAsia="宋体" w:cs="宋体"/>
                <w:kern w:val="1"/>
                <w:sz w:val="24"/>
                <w:szCs w:val="24"/>
              </w:rPr>
            </w:pPr>
          </w:p>
        </w:tc>
        <w:tc>
          <w:tcPr>
            <w:tcW w:w="4536" w:type="dxa"/>
            <w:noWrap w:val="0"/>
            <w:vAlign w:val="top"/>
          </w:tcPr>
          <w:p w14:paraId="56AF4B6A">
            <w:pPr>
              <w:spacing w:line="360" w:lineRule="auto"/>
              <w:ind w:left="2"/>
              <w:rPr>
                <w:rFonts w:hint="eastAsia" w:ascii="宋体" w:hAnsi="宋体" w:eastAsia="宋体" w:cs="宋体"/>
                <w:kern w:val="1"/>
                <w:sz w:val="24"/>
                <w:szCs w:val="24"/>
              </w:rPr>
            </w:pPr>
            <w:r>
              <w:rPr>
                <w:rFonts w:hint="eastAsia" w:ascii="宋体" w:hAnsi="宋体" w:eastAsia="宋体" w:cs="宋体"/>
                <w:kern w:val="1"/>
                <w:sz w:val="24"/>
                <w:szCs w:val="24"/>
              </w:rPr>
              <w:t xml:space="preserve"> </w:t>
            </w:r>
          </w:p>
        </w:tc>
      </w:tr>
    </w:tbl>
    <w:p w14:paraId="4A6CDD89">
      <w:r>
        <w:br w:type="page"/>
      </w:r>
    </w:p>
    <w:p w14:paraId="70BDDE5D">
      <w:pPr>
        <w:pStyle w:val="34"/>
        <w:ind w:right="240"/>
        <w:jc w:val="center"/>
        <w:rPr>
          <w:rFonts w:hint="eastAsia" w:ascii="宋体" w:hAnsi="宋体" w:eastAsia="宋体" w:cs="宋体"/>
          <w:sz w:val="52"/>
          <w:szCs w:val="52"/>
        </w:rPr>
      </w:pPr>
      <w:bookmarkStart w:id="369" w:name="_Toc495424192"/>
      <w:bookmarkStart w:id="370" w:name="_Toc495424925"/>
      <w:bookmarkStart w:id="371" w:name="_Toc484089017"/>
      <w:bookmarkStart w:id="372" w:name="_Toc495425131"/>
      <w:bookmarkStart w:id="373" w:name="_Toc477856386"/>
      <w:bookmarkStart w:id="374" w:name="_Toc26581"/>
    </w:p>
    <w:p w14:paraId="7BA37045">
      <w:pPr>
        <w:pStyle w:val="34"/>
        <w:ind w:right="240"/>
        <w:jc w:val="center"/>
        <w:rPr>
          <w:rFonts w:hint="eastAsia" w:ascii="宋体" w:hAnsi="宋体" w:eastAsia="宋体" w:cs="宋体"/>
          <w:sz w:val="52"/>
          <w:szCs w:val="52"/>
        </w:rPr>
      </w:pPr>
      <w:r>
        <w:rPr>
          <w:rFonts w:hint="eastAsia" w:ascii="宋体" w:hAnsi="宋体" w:eastAsia="宋体" w:cs="宋体"/>
          <w:sz w:val="52"/>
          <w:szCs w:val="52"/>
        </w:rPr>
        <w:t>响应文件</w:t>
      </w:r>
      <w:bookmarkEnd w:id="369"/>
      <w:bookmarkEnd w:id="370"/>
      <w:bookmarkEnd w:id="371"/>
      <w:bookmarkEnd w:id="372"/>
      <w:bookmarkEnd w:id="373"/>
      <w:r>
        <w:rPr>
          <w:rFonts w:hint="eastAsia" w:ascii="宋体" w:hAnsi="宋体" w:eastAsia="宋体" w:cs="宋体"/>
          <w:sz w:val="52"/>
          <w:szCs w:val="52"/>
        </w:rPr>
        <w:t>技术部分</w:t>
      </w:r>
      <w:bookmarkEnd w:id="374"/>
    </w:p>
    <w:p w14:paraId="0C4244B1">
      <w:pPr>
        <w:rPr>
          <w:rFonts w:hint="eastAsia" w:ascii="宋体" w:hAnsi="宋体" w:eastAsia="宋体" w:cs="宋体"/>
        </w:rPr>
      </w:pPr>
    </w:p>
    <w:p w14:paraId="0CFB9071">
      <w:pPr>
        <w:rPr>
          <w:rFonts w:hint="eastAsia" w:ascii="宋体" w:hAnsi="宋体" w:eastAsia="宋体" w:cs="宋体"/>
        </w:rPr>
      </w:pPr>
    </w:p>
    <w:p w14:paraId="5C35372C">
      <w:pPr>
        <w:rPr>
          <w:rFonts w:hint="eastAsia" w:ascii="宋体" w:hAnsi="宋体" w:eastAsia="宋体" w:cs="宋体"/>
        </w:rPr>
      </w:pPr>
    </w:p>
    <w:p w14:paraId="0ED47E49">
      <w:pPr>
        <w:rPr>
          <w:rFonts w:hint="eastAsia" w:ascii="宋体" w:hAnsi="宋体" w:eastAsia="宋体" w:cs="宋体"/>
        </w:rPr>
      </w:pPr>
    </w:p>
    <w:p w14:paraId="08E460A5">
      <w:pPr>
        <w:rPr>
          <w:rFonts w:hint="eastAsia" w:ascii="宋体" w:hAnsi="宋体" w:eastAsia="宋体" w:cs="宋体"/>
        </w:rPr>
      </w:pPr>
    </w:p>
    <w:p w14:paraId="1340A8A4">
      <w:pPr>
        <w:rPr>
          <w:rFonts w:hint="eastAsia" w:ascii="宋体" w:hAnsi="宋体" w:eastAsia="宋体" w:cs="宋体"/>
        </w:rPr>
      </w:pPr>
    </w:p>
    <w:p w14:paraId="17785D35">
      <w:pPr>
        <w:rPr>
          <w:rFonts w:hint="eastAsia" w:ascii="宋体" w:hAnsi="宋体" w:eastAsia="宋体" w:cs="宋体"/>
        </w:rPr>
      </w:pPr>
    </w:p>
    <w:p w14:paraId="7198ABC4">
      <w:r>
        <w:br w:type="page"/>
      </w:r>
    </w:p>
    <w:p w14:paraId="3AE28137">
      <w:pPr>
        <w:pStyle w:val="4"/>
        <w:bidi w:val="0"/>
        <w:rPr>
          <w:rFonts w:hint="eastAsia" w:ascii="宋体" w:hAnsi="宋体" w:eastAsia="宋体" w:cs="宋体"/>
          <w:kern w:val="0"/>
        </w:rPr>
      </w:pPr>
      <w:bookmarkStart w:id="375" w:name="_Toc11880"/>
      <w:r>
        <w:rPr>
          <w:rFonts w:hint="eastAsia" w:ascii="宋体" w:hAnsi="宋体" w:eastAsia="宋体" w:cs="宋体"/>
          <w:kern w:val="0"/>
          <w:lang w:val="en-US" w:eastAsia="zh-CN"/>
        </w:rPr>
        <w:t>一</w:t>
      </w:r>
      <w:r>
        <w:rPr>
          <w:rFonts w:hint="eastAsia" w:ascii="宋体" w:hAnsi="宋体" w:eastAsia="宋体" w:cs="宋体"/>
          <w:kern w:val="0"/>
        </w:rPr>
        <w:t>、</w:t>
      </w:r>
      <w:r>
        <w:rPr>
          <w:rFonts w:hint="eastAsia" w:ascii="宋体" w:hAnsi="宋体" w:eastAsia="宋体" w:cs="宋体"/>
          <w:kern w:val="0"/>
          <w:sz w:val="21"/>
          <w:szCs w:val="21"/>
        </w:rPr>
        <w:t>响应偏离表</w:t>
      </w:r>
      <w:bookmarkEnd w:id="375"/>
    </w:p>
    <w:p w14:paraId="189B60B3">
      <w:pPr>
        <w:spacing w:line="360" w:lineRule="auto"/>
        <w:rPr>
          <w:rFonts w:hint="eastAsia" w:ascii="宋体" w:hAnsi="宋体" w:eastAsia="宋体" w:cs="宋体"/>
          <w:sz w:val="24"/>
          <w:szCs w:val="20"/>
        </w:rPr>
      </w:pPr>
      <w:r>
        <w:rPr>
          <w:rFonts w:hint="eastAsia" w:ascii="宋体" w:hAnsi="宋体" w:eastAsia="宋体" w:cs="宋体"/>
          <w:sz w:val="24"/>
          <w:szCs w:val="20"/>
        </w:rPr>
        <w:t>供应商必须对竞争性磋商文件要求的服务内容逐项答复；内容如与竞争性磋商文件中的规定要求不一致（正偏离或负偏离），应填写“偏离说明”；如均响应服务内容，在“偏离情况”中写明“满足要求”。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4813"/>
        <w:gridCol w:w="1033"/>
        <w:gridCol w:w="1904"/>
      </w:tblGrid>
      <w:tr w14:paraId="0477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top"/>
          </w:tcPr>
          <w:p w14:paraId="4BF02A3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4813" w:type="dxa"/>
            <w:tcBorders>
              <w:top w:val="single" w:color="auto" w:sz="4" w:space="0"/>
              <w:left w:val="single" w:color="auto" w:sz="4" w:space="0"/>
              <w:bottom w:val="single" w:color="auto" w:sz="4" w:space="0"/>
              <w:right w:val="single" w:color="auto" w:sz="4" w:space="0"/>
            </w:tcBorders>
            <w:noWrap w:val="0"/>
            <w:vAlign w:val="center"/>
          </w:tcPr>
          <w:p w14:paraId="53453E9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用户需求书</w:t>
            </w:r>
          </w:p>
        </w:tc>
        <w:tc>
          <w:tcPr>
            <w:tcW w:w="1033" w:type="dxa"/>
            <w:tcBorders>
              <w:top w:val="single" w:color="auto" w:sz="4" w:space="0"/>
              <w:left w:val="single" w:color="auto" w:sz="4" w:space="0"/>
              <w:bottom w:val="single" w:color="auto" w:sz="4" w:space="0"/>
              <w:right w:val="single" w:color="auto" w:sz="4" w:space="0"/>
            </w:tcBorders>
            <w:noWrap w:val="0"/>
            <w:vAlign w:val="top"/>
          </w:tcPr>
          <w:p w14:paraId="418B8E9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偏离情况</w:t>
            </w:r>
          </w:p>
        </w:tc>
        <w:tc>
          <w:tcPr>
            <w:tcW w:w="1904" w:type="dxa"/>
            <w:tcBorders>
              <w:top w:val="single" w:color="auto" w:sz="4" w:space="0"/>
              <w:left w:val="single" w:color="auto" w:sz="4" w:space="0"/>
              <w:bottom w:val="single" w:color="auto" w:sz="4" w:space="0"/>
              <w:right w:val="single" w:color="auto" w:sz="4" w:space="0"/>
            </w:tcBorders>
            <w:noWrap w:val="0"/>
            <w:vAlign w:val="top"/>
          </w:tcPr>
          <w:p w14:paraId="1679398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偏离说明</w:t>
            </w:r>
          </w:p>
        </w:tc>
      </w:tr>
      <w:tr w14:paraId="5716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top"/>
          </w:tcPr>
          <w:p w14:paraId="7D795E8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4813" w:type="dxa"/>
            <w:tcBorders>
              <w:top w:val="single" w:color="auto" w:sz="4" w:space="0"/>
              <w:left w:val="single" w:color="auto" w:sz="4" w:space="0"/>
              <w:bottom w:val="single" w:color="auto" w:sz="4" w:space="0"/>
              <w:right w:val="single" w:color="auto" w:sz="4" w:space="0"/>
            </w:tcBorders>
            <w:noWrap w:val="0"/>
            <w:vAlign w:val="top"/>
          </w:tcPr>
          <w:p w14:paraId="41EBA28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b/>
                <w:bCs/>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top"/>
          </w:tcPr>
          <w:p w14:paraId="45AC461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1049E52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p>
        </w:tc>
      </w:tr>
      <w:tr w14:paraId="1B42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top"/>
          </w:tcPr>
          <w:p w14:paraId="2828C50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813" w:type="dxa"/>
            <w:tcBorders>
              <w:top w:val="single" w:color="auto" w:sz="4" w:space="0"/>
              <w:left w:val="single" w:color="auto" w:sz="4" w:space="0"/>
              <w:bottom w:val="single" w:color="auto" w:sz="4" w:space="0"/>
              <w:right w:val="single" w:color="auto" w:sz="4" w:space="0"/>
            </w:tcBorders>
            <w:noWrap w:val="0"/>
            <w:vAlign w:val="top"/>
          </w:tcPr>
          <w:p w14:paraId="329203D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kern w:val="0"/>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top"/>
          </w:tcPr>
          <w:p w14:paraId="79ED5D2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2DDC983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p>
        </w:tc>
      </w:tr>
      <w:tr w14:paraId="61F1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top"/>
          </w:tcPr>
          <w:p w14:paraId="0F7001F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4813" w:type="dxa"/>
            <w:tcBorders>
              <w:top w:val="single" w:color="auto" w:sz="4" w:space="0"/>
              <w:left w:val="single" w:color="auto" w:sz="4" w:space="0"/>
              <w:bottom w:val="single" w:color="auto" w:sz="4" w:space="0"/>
              <w:right w:val="single" w:color="auto" w:sz="4" w:space="0"/>
            </w:tcBorders>
            <w:noWrap w:val="0"/>
            <w:vAlign w:val="top"/>
          </w:tcPr>
          <w:p w14:paraId="4D94E4C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kern w:val="0"/>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top"/>
          </w:tcPr>
          <w:p w14:paraId="10B6A02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633869F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p>
        </w:tc>
      </w:tr>
      <w:tr w14:paraId="2637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top"/>
          </w:tcPr>
          <w:p w14:paraId="5E3446B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4813" w:type="dxa"/>
            <w:tcBorders>
              <w:top w:val="single" w:color="auto" w:sz="4" w:space="0"/>
              <w:left w:val="single" w:color="auto" w:sz="4" w:space="0"/>
              <w:bottom w:val="single" w:color="auto" w:sz="4" w:space="0"/>
              <w:right w:val="single" w:color="auto" w:sz="4" w:space="0"/>
            </w:tcBorders>
            <w:noWrap w:val="0"/>
            <w:vAlign w:val="top"/>
          </w:tcPr>
          <w:p w14:paraId="5D66042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033" w:type="dxa"/>
            <w:tcBorders>
              <w:top w:val="single" w:color="auto" w:sz="4" w:space="0"/>
              <w:left w:val="single" w:color="auto" w:sz="4" w:space="0"/>
              <w:bottom w:val="single" w:color="auto" w:sz="4" w:space="0"/>
              <w:right w:val="single" w:color="auto" w:sz="4" w:space="0"/>
            </w:tcBorders>
            <w:noWrap w:val="0"/>
            <w:vAlign w:val="top"/>
          </w:tcPr>
          <w:p w14:paraId="22FEAB1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3FDBD15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p>
        </w:tc>
      </w:tr>
      <w:tr w14:paraId="5BB0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top"/>
          </w:tcPr>
          <w:p w14:paraId="5E8F822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p>
        </w:tc>
        <w:tc>
          <w:tcPr>
            <w:tcW w:w="4813" w:type="dxa"/>
            <w:tcBorders>
              <w:top w:val="single" w:color="auto" w:sz="4" w:space="0"/>
              <w:left w:val="single" w:color="auto" w:sz="4" w:space="0"/>
              <w:bottom w:val="single" w:color="auto" w:sz="4" w:space="0"/>
              <w:right w:val="single" w:color="auto" w:sz="4" w:space="0"/>
            </w:tcBorders>
            <w:noWrap w:val="0"/>
            <w:vAlign w:val="top"/>
          </w:tcPr>
          <w:p w14:paraId="5EDDD71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合同条款</w:t>
            </w:r>
          </w:p>
        </w:tc>
        <w:tc>
          <w:tcPr>
            <w:tcW w:w="1033" w:type="dxa"/>
            <w:tcBorders>
              <w:top w:val="single" w:color="auto" w:sz="4" w:space="0"/>
              <w:left w:val="single" w:color="auto" w:sz="4" w:space="0"/>
              <w:bottom w:val="single" w:color="auto" w:sz="4" w:space="0"/>
              <w:right w:val="single" w:color="auto" w:sz="4" w:space="0"/>
            </w:tcBorders>
            <w:noWrap w:val="0"/>
            <w:vAlign w:val="top"/>
          </w:tcPr>
          <w:p w14:paraId="55F77B6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60FA658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p>
        </w:tc>
      </w:tr>
      <w:tr w14:paraId="6030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top"/>
          </w:tcPr>
          <w:p w14:paraId="6298001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p>
        </w:tc>
        <w:tc>
          <w:tcPr>
            <w:tcW w:w="4813" w:type="dxa"/>
            <w:tcBorders>
              <w:top w:val="single" w:color="auto" w:sz="4" w:space="0"/>
              <w:left w:val="single" w:color="auto" w:sz="4" w:space="0"/>
              <w:bottom w:val="single" w:color="auto" w:sz="4" w:space="0"/>
              <w:right w:val="single" w:color="auto" w:sz="4" w:space="0"/>
            </w:tcBorders>
            <w:noWrap w:val="0"/>
            <w:vAlign w:val="top"/>
          </w:tcPr>
          <w:p w14:paraId="4DD3EFD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合同所有条款</w:t>
            </w:r>
          </w:p>
        </w:tc>
        <w:tc>
          <w:tcPr>
            <w:tcW w:w="1033" w:type="dxa"/>
            <w:tcBorders>
              <w:top w:val="single" w:color="auto" w:sz="4" w:space="0"/>
              <w:left w:val="single" w:color="auto" w:sz="4" w:space="0"/>
              <w:bottom w:val="single" w:color="auto" w:sz="4" w:space="0"/>
              <w:right w:val="single" w:color="auto" w:sz="4" w:space="0"/>
            </w:tcBorders>
            <w:noWrap w:val="0"/>
            <w:vAlign w:val="top"/>
          </w:tcPr>
          <w:p w14:paraId="733A428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19F017D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p>
        </w:tc>
      </w:tr>
      <w:tr w14:paraId="4B4C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top"/>
          </w:tcPr>
          <w:p w14:paraId="0F1F1BA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p>
        </w:tc>
        <w:tc>
          <w:tcPr>
            <w:tcW w:w="4813" w:type="dxa"/>
            <w:tcBorders>
              <w:top w:val="single" w:color="auto" w:sz="4" w:space="0"/>
              <w:left w:val="single" w:color="auto" w:sz="4" w:space="0"/>
              <w:bottom w:val="single" w:color="auto" w:sz="4" w:space="0"/>
              <w:right w:val="single" w:color="auto" w:sz="4" w:space="0"/>
            </w:tcBorders>
            <w:noWrap w:val="0"/>
            <w:vAlign w:val="top"/>
          </w:tcPr>
          <w:p w14:paraId="6C01AAE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p>
        </w:tc>
        <w:tc>
          <w:tcPr>
            <w:tcW w:w="1033" w:type="dxa"/>
            <w:tcBorders>
              <w:top w:val="single" w:color="auto" w:sz="4" w:space="0"/>
              <w:left w:val="single" w:color="auto" w:sz="4" w:space="0"/>
              <w:bottom w:val="single" w:color="auto" w:sz="4" w:space="0"/>
              <w:right w:val="single" w:color="auto" w:sz="4" w:space="0"/>
            </w:tcBorders>
            <w:noWrap w:val="0"/>
            <w:vAlign w:val="top"/>
          </w:tcPr>
          <w:p w14:paraId="2C82563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69AC60B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kern w:val="0"/>
                <w:sz w:val="24"/>
                <w:szCs w:val="24"/>
              </w:rPr>
            </w:pPr>
          </w:p>
        </w:tc>
      </w:tr>
    </w:tbl>
    <w:p w14:paraId="151F5543">
      <w:pPr>
        <w:bidi w:val="0"/>
        <w:rPr>
          <w:rFonts w:hint="eastAsia"/>
        </w:rPr>
      </w:pPr>
      <w:r>
        <w:rPr>
          <w:rFonts w:hint="eastAsia"/>
        </w:rPr>
        <w:t>注：除偏离表列出的偏离外，供应商响应磋商文件的全部要求。</w:t>
      </w:r>
    </w:p>
    <w:p w14:paraId="4767426A">
      <w:r>
        <w:br w:type="page"/>
      </w:r>
    </w:p>
    <w:p w14:paraId="722760B7">
      <w:pPr>
        <w:pStyle w:val="4"/>
        <w:bidi w:val="0"/>
        <w:rPr>
          <w:rFonts w:hint="eastAsia"/>
        </w:rPr>
      </w:pPr>
      <w:bookmarkStart w:id="376" w:name="_Toc3098"/>
      <w:r>
        <w:rPr>
          <w:rFonts w:hint="eastAsia"/>
          <w:lang w:val="en-US" w:eastAsia="zh-CN"/>
        </w:rPr>
        <w:t>二</w:t>
      </w:r>
      <w:r>
        <w:rPr>
          <w:rFonts w:hint="eastAsia"/>
        </w:rPr>
        <w:t>、专家评分导读表</w:t>
      </w:r>
      <w:bookmarkEnd w:id="376"/>
    </w:p>
    <w:p w14:paraId="78995DB8">
      <w:pPr>
        <w:bidi w:val="0"/>
        <w:rPr>
          <w:rFonts w:hint="eastAsia"/>
          <w:sz w:val="24"/>
          <w:szCs w:val="22"/>
        </w:rPr>
      </w:pPr>
      <w:r>
        <w:rPr>
          <w:rFonts w:hint="eastAsia"/>
          <w:sz w:val="24"/>
          <w:szCs w:val="22"/>
        </w:rPr>
        <w:t>需根据综合打分评审标准，标明其中每一条在响应文件中的相应页码。</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886"/>
        <w:gridCol w:w="5361"/>
        <w:gridCol w:w="1665"/>
      </w:tblGrid>
      <w:tr w14:paraId="7558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4"/>
            <w:noWrap w:val="0"/>
            <w:vAlign w:val="top"/>
          </w:tcPr>
          <w:p w14:paraId="4D1C43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FF0000"/>
                <w:kern w:val="0"/>
                <w:sz w:val="24"/>
                <w:szCs w:val="20"/>
              </w:rPr>
            </w:pPr>
            <w:r>
              <w:rPr>
                <w:rFonts w:hint="eastAsia" w:ascii="宋体" w:hAnsi="宋体" w:eastAsia="宋体" w:cs="宋体"/>
                <w:color w:val="FF0000"/>
                <w:kern w:val="0"/>
                <w:sz w:val="24"/>
                <w:szCs w:val="20"/>
              </w:rPr>
              <w:t>Xxxx评分标准</w:t>
            </w:r>
          </w:p>
        </w:tc>
      </w:tr>
      <w:tr w14:paraId="1915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656AE9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序号</w:t>
            </w:r>
          </w:p>
        </w:tc>
        <w:tc>
          <w:tcPr>
            <w:tcW w:w="957" w:type="dxa"/>
            <w:noWrap w:val="0"/>
            <w:vAlign w:val="center"/>
          </w:tcPr>
          <w:p w14:paraId="3C63CCF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分值</w:t>
            </w:r>
          </w:p>
        </w:tc>
        <w:tc>
          <w:tcPr>
            <w:tcW w:w="6171" w:type="dxa"/>
            <w:noWrap w:val="0"/>
            <w:vAlign w:val="center"/>
          </w:tcPr>
          <w:p w14:paraId="368B749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评分说明</w:t>
            </w:r>
          </w:p>
        </w:tc>
        <w:tc>
          <w:tcPr>
            <w:tcW w:w="1865" w:type="dxa"/>
            <w:noWrap w:val="0"/>
            <w:vAlign w:val="center"/>
          </w:tcPr>
          <w:p w14:paraId="77F16C2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响应文件</w:t>
            </w:r>
          </w:p>
          <w:p w14:paraId="115C90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相应号码</w:t>
            </w:r>
          </w:p>
        </w:tc>
      </w:tr>
      <w:tr w14:paraId="0DED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569130D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p>
        </w:tc>
        <w:tc>
          <w:tcPr>
            <w:tcW w:w="957" w:type="dxa"/>
            <w:noWrap w:val="0"/>
            <w:vAlign w:val="center"/>
          </w:tcPr>
          <w:p w14:paraId="7CFB69D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p>
        </w:tc>
        <w:tc>
          <w:tcPr>
            <w:tcW w:w="6171" w:type="dxa"/>
            <w:noWrap w:val="0"/>
            <w:vAlign w:val="center"/>
          </w:tcPr>
          <w:p w14:paraId="0E3DDE2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kern w:val="0"/>
                <w:sz w:val="24"/>
                <w:szCs w:val="20"/>
              </w:rPr>
            </w:pPr>
          </w:p>
        </w:tc>
        <w:tc>
          <w:tcPr>
            <w:tcW w:w="1865" w:type="dxa"/>
            <w:noWrap w:val="0"/>
            <w:vAlign w:val="center"/>
          </w:tcPr>
          <w:p w14:paraId="200CC2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p>
        </w:tc>
      </w:tr>
      <w:tr w14:paraId="0245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5B5B694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p>
        </w:tc>
        <w:tc>
          <w:tcPr>
            <w:tcW w:w="957" w:type="dxa"/>
            <w:noWrap w:val="0"/>
            <w:vAlign w:val="center"/>
          </w:tcPr>
          <w:p w14:paraId="453980D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p>
        </w:tc>
        <w:tc>
          <w:tcPr>
            <w:tcW w:w="6171" w:type="dxa"/>
            <w:noWrap w:val="0"/>
            <w:vAlign w:val="center"/>
          </w:tcPr>
          <w:p w14:paraId="335F613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kern w:val="0"/>
                <w:sz w:val="24"/>
                <w:szCs w:val="20"/>
              </w:rPr>
            </w:pPr>
          </w:p>
        </w:tc>
        <w:tc>
          <w:tcPr>
            <w:tcW w:w="1865" w:type="dxa"/>
            <w:noWrap w:val="0"/>
            <w:vAlign w:val="center"/>
          </w:tcPr>
          <w:p w14:paraId="121E921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p>
        </w:tc>
      </w:tr>
      <w:tr w14:paraId="7E23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52782D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p>
        </w:tc>
        <w:tc>
          <w:tcPr>
            <w:tcW w:w="957" w:type="dxa"/>
            <w:noWrap w:val="0"/>
            <w:vAlign w:val="center"/>
          </w:tcPr>
          <w:p w14:paraId="08F332E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p>
        </w:tc>
        <w:tc>
          <w:tcPr>
            <w:tcW w:w="6171" w:type="dxa"/>
            <w:noWrap w:val="0"/>
            <w:vAlign w:val="center"/>
          </w:tcPr>
          <w:p w14:paraId="633AFDF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kern w:val="0"/>
                <w:sz w:val="24"/>
                <w:szCs w:val="20"/>
              </w:rPr>
            </w:pPr>
          </w:p>
        </w:tc>
        <w:tc>
          <w:tcPr>
            <w:tcW w:w="1865" w:type="dxa"/>
            <w:noWrap w:val="0"/>
            <w:vAlign w:val="center"/>
          </w:tcPr>
          <w:p w14:paraId="509AFC9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p>
        </w:tc>
      </w:tr>
      <w:tr w14:paraId="3C10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2733FD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p>
        </w:tc>
        <w:tc>
          <w:tcPr>
            <w:tcW w:w="957" w:type="dxa"/>
            <w:noWrap w:val="0"/>
            <w:vAlign w:val="center"/>
          </w:tcPr>
          <w:p w14:paraId="0A4B640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p>
        </w:tc>
        <w:tc>
          <w:tcPr>
            <w:tcW w:w="6171" w:type="dxa"/>
            <w:noWrap w:val="0"/>
            <w:vAlign w:val="center"/>
          </w:tcPr>
          <w:p w14:paraId="57637B6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kern w:val="0"/>
                <w:sz w:val="24"/>
                <w:szCs w:val="20"/>
              </w:rPr>
            </w:pPr>
          </w:p>
        </w:tc>
        <w:tc>
          <w:tcPr>
            <w:tcW w:w="1865" w:type="dxa"/>
            <w:noWrap w:val="0"/>
            <w:vAlign w:val="center"/>
          </w:tcPr>
          <w:p w14:paraId="5BBA4E7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p>
        </w:tc>
      </w:tr>
      <w:tr w14:paraId="497C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0FA99E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p>
        </w:tc>
        <w:tc>
          <w:tcPr>
            <w:tcW w:w="957" w:type="dxa"/>
            <w:noWrap w:val="0"/>
            <w:vAlign w:val="center"/>
          </w:tcPr>
          <w:p w14:paraId="007F83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p>
        </w:tc>
        <w:tc>
          <w:tcPr>
            <w:tcW w:w="6171" w:type="dxa"/>
            <w:noWrap w:val="0"/>
            <w:vAlign w:val="center"/>
          </w:tcPr>
          <w:p w14:paraId="4684606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kern w:val="0"/>
                <w:sz w:val="24"/>
                <w:szCs w:val="20"/>
              </w:rPr>
            </w:pPr>
          </w:p>
        </w:tc>
        <w:tc>
          <w:tcPr>
            <w:tcW w:w="1865" w:type="dxa"/>
            <w:noWrap w:val="0"/>
            <w:vAlign w:val="center"/>
          </w:tcPr>
          <w:p w14:paraId="2842D53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p>
        </w:tc>
      </w:tr>
      <w:tr w14:paraId="20AA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noWrap w:val="0"/>
            <w:vAlign w:val="center"/>
          </w:tcPr>
          <w:p w14:paraId="1375C1A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p>
        </w:tc>
        <w:tc>
          <w:tcPr>
            <w:tcW w:w="957" w:type="dxa"/>
            <w:noWrap w:val="0"/>
            <w:vAlign w:val="center"/>
          </w:tcPr>
          <w:p w14:paraId="1C7F5B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p>
        </w:tc>
        <w:tc>
          <w:tcPr>
            <w:tcW w:w="6171" w:type="dxa"/>
            <w:noWrap w:val="0"/>
            <w:vAlign w:val="center"/>
          </w:tcPr>
          <w:p w14:paraId="1629032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kern w:val="0"/>
                <w:sz w:val="24"/>
                <w:szCs w:val="20"/>
              </w:rPr>
            </w:pPr>
          </w:p>
        </w:tc>
        <w:tc>
          <w:tcPr>
            <w:tcW w:w="1865" w:type="dxa"/>
            <w:noWrap w:val="0"/>
            <w:vAlign w:val="center"/>
          </w:tcPr>
          <w:p w14:paraId="38A5D9A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4"/>
                <w:szCs w:val="20"/>
              </w:rPr>
            </w:pPr>
          </w:p>
        </w:tc>
      </w:tr>
    </w:tbl>
    <w:p w14:paraId="12A31904">
      <w:r>
        <w:br w:type="page"/>
      </w:r>
    </w:p>
    <w:p w14:paraId="7B8B2062">
      <w:pPr>
        <w:pStyle w:val="4"/>
        <w:bidi w:val="0"/>
      </w:pPr>
      <w:bookmarkStart w:id="377" w:name="_Toc8435"/>
      <w:r>
        <w:rPr>
          <w:rFonts w:hint="eastAsia"/>
          <w:lang w:val="en-US" w:eastAsia="zh-CN"/>
        </w:rPr>
        <w:t>三</w:t>
      </w:r>
      <w:r>
        <w:rPr>
          <w:rFonts w:hint="eastAsia"/>
        </w:rPr>
        <w:t>、其他材料</w:t>
      </w:r>
      <w:bookmarkEnd w:id="377"/>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151DD">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F1F25">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0BF1F25">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AD285"/>
    <w:multiLevelType w:val="singleLevel"/>
    <w:tmpl w:val="E93AD285"/>
    <w:lvl w:ilvl="0" w:tentative="0">
      <w:start w:val="4"/>
      <w:numFmt w:val="chineseCounting"/>
      <w:suff w:val="nothing"/>
      <w:lvlText w:val="%1、"/>
      <w:lvlJc w:val="left"/>
      <w:rPr>
        <w:rFonts w:hint="eastAsia"/>
      </w:rPr>
    </w:lvl>
  </w:abstractNum>
  <w:abstractNum w:abstractNumId="1">
    <w:nsid w:val="373EB60F"/>
    <w:multiLevelType w:val="singleLevel"/>
    <w:tmpl w:val="373EB60F"/>
    <w:lvl w:ilvl="0" w:tentative="0">
      <w:start w:val="8"/>
      <w:numFmt w:val="decimal"/>
      <w:suff w:val="space"/>
      <w:lvlText w:val="%1."/>
      <w:lvlJc w:val="left"/>
    </w:lvl>
  </w:abstractNum>
  <w:abstractNum w:abstractNumId="2">
    <w:nsid w:val="6E9C984D"/>
    <w:multiLevelType w:val="singleLevel"/>
    <w:tmpl w:val="6E9C984D"/>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109CE"/>
    <w:rsid w:val="00E454FB"/>
    <w:rsid w:val="036D0E2E"/>
    <w:rsid w:val="03AF52F8"/>
    <w:rsid w:val="04FA7287"/>
    <w:rsid w:val="05C0017E"/>
    <w:rsid w:val="076B3C4E"/>
    <w:rsid w:val="0CF917F3"/>
    <w:rsid w:val="0E7731B7"/>
    <w:rsid w:val="101306E9"/>
    <w:rsid w:val="1A302D71"/>
    <w:rsid w:val="1DDE545E"/>
    <w:rsid w:val="1E452C05"/>
    <w:rsid w:val="1EBF6AA1"/>
    <w:rsid w:val="243B273E"/>
    <w:rsid w:val="26505C71"/>
    <w:rsid w:val="28826DDF"/>
    <w:rsid w:val="2E1B2A92"/>
    <w:rsid w:val="30E75841"/>
    <w:rsid w:val="31FB2092"/>
    <w:rsid w:val="31FF23FE"/>
    <w:rsid w:val="33452B0C"/>
    <w:rsid w:val="3AD8155F"/>
    <w:rsid w:val="3BD6298D"/>
    <w:rsid w:val="3D084765"/>
    <w:rsid w:val="3D27219A"/>
    <w:rsid w:val="3E383892"/>
    <w:rsid w:val="42DA191F"/>
    <w:rsid w:val="447F69E0"/>
    <w:rsid w:val="46823093"/>
    <w:rsid w:val="5CF26945"/>
    <w:rsid w:val="614A4D78"/>
    <w:rsid w:val="63461E73"/>
    <w:rsid w:val="67A151C6"/>
    <w:rsid w:val="72B26095"/>
    <w:rsid w:val="73636360"/>
    <w:rsid w:val="73D109CE"/>
    <w:rsid w:val="7867290B"/>
    <w:rsid w:val="78D71CA6"/>
    <w:rsid w:val="7BC31889"/>
    <w:rsid w:val="7C530162"/>
    <w:rsid w:val="7DCE034C"/>
    <w:rsid w:val="7EC26736"/>
    <w:rsid w:val="7F472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044" w:firstLineChars="200"/>
      <w:jc w:val="left"/>
    </w:pPr>
    <w:rPr>
      <w:rFonts w:ascii="宋体" w:hAnsi="宋体" w:eastAsia="宋体" w:cs="Times New Roman"/>
      <w:kern w:val="2"/>
      <w:sz w:val="28"/>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ascii="宋体" w:hAnsi="宋体" w:eastAsia="宋体" w:cs="Times New Roman"/>
      <w:b/>
      <w:kern w:val="44"/>
      <w:sz w:val="28"/>
      <w:szCs w:val="24"/>
    </w:rPr>
  </w:style>
  <w:style w:type="paragraph" w:styleId="3">
    <w:name w:val="heading 2"/>
    <w:basedOn w:val="1"/>
    <w:next w:val="1"/>
    <w:unhideWhenUsed/>
    <w:qFormat/>
    <w:uiPriority w:val="0"/>
    <w:pPr>
      <w:keepNext/>
      <w:keepLines/>
      <w:spacing w:beforeLines="0" w:beforeAutospacing="0" w:afterLines="0" w:afterAutospacing="0" w:line="360" w:lineRule="auto"/>
      <w:ind w:firstLine="560" w:firstLineChars="200"/>
      <w:jc w:val="left"/>
      <w:outlineLvl w:val="1"/>
    </w:pPr>
    <w:rPr>
      <w:rFonts w:ascii="宋体" w:hAnsi="宋体" w:eastAsia="宋体"/>
      <w:b/>
      <w:sz w:val="24"/>
    </w:rPr>
  </w:style>
  <w:style w:type="paragraph" w:styleId="4">
    <w:name w:val="heading 3"/>
    <w:basedOn w:val="1"/>
    <w:next w:val="1"/>
    <w:qFormat/>
    <w:uiPriority w:val="0"/>
    <w:pPr>
      <w:keepNext/>
      <w:widowControl/>
      <w:ind w:left="0" w:firstLine="0" w:firstLineChars="0"/>
      <w:jc w:val="center"/>
      <w:outlineLvl w:val="2"/>
    </w:pPr>
    <w:rPr>
      <w:b/>
    </w:rPr>
  </w:style>
  <w:style w:type="paragraph" w:styleId="5">
    <w:name w:val="heading 5"/>
    <w:basedOn w:val="1"/>
    <w:next w:val="1"/>
    <w:qFormat/>
    <w:uiPriority w:val="0"/>
    <w:pPr>
      <w:keepNext/>
      <w:keepLines/>
      <w:adjustRightInd w:val="0"/>
      <w:spacing w:before="280" w:after="290" w:line="376" w:lineRule="atLeast"/>
      <w:ind w:left="2125" w:hanging="425"/>
      <w:textAlignment w:val="baseline"/>
      <w:outlineLvl w:val="4"/>
    </w:pPr>
    <w:rPr>
      <w:b/>
      <w:kern w:val="0"/>
      <w:sz w:val="28"/>
      <w:szCs w:val="2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semiHidden/>
    <w:qFormat/>
    <w:uiPriority w:val="0"/>
    <w:pPr>
      <w:jc w:val="left"/>
    </w:pPr>
  </w:style>
  <w:style w:type="paragraph" w:styleId="8">
    <w:name w:val="Body Text 3"/>
    <w:basedOn w:val="1"/>
    <w:qFormat/>
    <w:uiPriority w:val="0"/>
    <w:rPr>
      <w:sz w:val="24"/>
      <w:szCs w:val="20"/>
    </w:rPr>
  </w:style>
  <w:style w:type="paragraph" w:styleId="9">
    <w:name w:val="Body Text"/>
    <w:basedOn w:val="1"/>
    <w:qFormat/>
    <w:uiPriority w:val="0"/>
    <w:pPr>
      <w:spacing w:after="120" w:afterLines="0" w:afterAutospacing="0"/>
    </w:pPr>
  </w:style>
  <w:style w:type="paragraph" w:styleId="10">
    <w:name w:val="Body Text Indent"/>
    <w:basedOn w:val="1"/>
    <w:qFormat/>
    <w:uiPriority w:val="0"/>
    <w:pPr>
      <w:spacing w:after="120"/>
      <w:ind w:left="420" w:leftChars="200"/>
    </w:pPr>
  </w:style>
  <w:style w:type="paragraph" w:styleId="11">
    <w:name w:val="toc 3"/>
    <w:basedOn w:val="1"/>
    <w:next w:val="1"/>
    <w:qFormat/>
    <w:uiPriority w:val="0"/>
    <w:pPr>
      <w:ind w:left="840" w:leftChars="300" w:firstLine="0" w:firstLineChars="0"/>
    </w:pPr>
    <w:rPr>
      <w:sz w:val="24"/>
    </w:rPr>
  </w:style>
  <w:style w:type="paragraph" w:styleId="12">
    <w:name w:val="Body Text Indent 2"/>
    <w:basedOn w:val="1"/>
    <w:qFormat/>
    <w:uiPriority w:val="0"/>
    <w:pPr>
      <w:spacing w:line="360" w:lineRule="auto"/>
      <w:ind w:left="990"/>
    </w:pPr>
    <w:rPr>
      <w:sz w:val="2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ind w:firstLine="0" w:firstLineChars="0"/>
    </w:pPr>
    <w:rPr>
      <w:sz w:val="24"/>
    </w:rPr>
  </w:style>
  <w:style w:type="paragraph" w:styleId="16">
    <w:name w:val="Subtitle"/>
    <w:basedOn w:val="1"/>
    <w:next w:val="1"/>
    <w:qFormat/>
    <w:uiPriority w:val="0"/>
    <w:pPr>
      <w:spacing w:before="240" w:after="60" w:line="312" w:lineRule="auto"/>
      <w:jc w:val="center"/>
      <w:outlineLvl w:val="1"/>
    </w:pPr>
    <w:rPr>
      <w:rFonts w:ascii="等线 Light" w:hAnsi="等线 Light" w:cs="Times New Roman"/>
      <w:b/>
      <w:bCs/>
      <w:kern w:val="28"/>
      <w:sz w:val="32"/>
      <w:szCs w:val="32"/>
    </w:rPr>
  </w:style>
  <w:style w:type="paragraph" w:styleId="17">
    <w:name w:val="footnote text"/>
    <w:basedOn w:val="1"/>
    <w:qFormat/>
    <w:uiPriority w:val="99"/>
    <w:rPr>
      <w:sz w:val="20"/>
      <w:szCs w:val="20"/>
    </w:rPr>
  </w:style>
  <w:style w:type="paragraph" w:styleId="18">
    <w:name w:val="toc 2"/>
    <w:basedOn w:val="1"/>
    <w:next w:val="1"/>
    <w:qFormat/>
    <w:uiPriority w:val="39"/>
    <w:pPr>
      <w:widowControl/>
      <w:spacing w:line="360" w:lineRule="auto"/>
      <w:ind w:left="0" w:firstLine="280" w:firstLineChars="100"/>
      <w:jc w:val="left"/>
    </w:pPr>
    <w:rPr>
      <w:rFonts w:ascii="Calibri" w:hAnsi="Calibri"/>
      <w:kern w:val="0"/>
      <w:sz w:val="24"/>
      <w:szCs w:val="22"/>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Title"/>
    <w:basedOn w:val="1"/>
    <w:next w:val="1"/>
    <w:qFormat/>
    <w:uiPriority w:val="0"/>
    <w:pPr>
      <w:spacing w:before="240" w:after="60"/>
      <w:jc w:val="center"/>
      <w:outlineLvl w:val="0"/>
    </w:pPr>
    <w:rPr>
      <w:rFonts w:ascii="Cambria" w:hAnsi="Cambria" w:cs="Times New Roman"/>
      <w:b/>
      <w:bCs/>
      <w:sz w:val="32"/>
      <w:szCs w:val="32"/>
    </w:rPr>
  </w:style>
  <w:style w:type="paragraph" w:styleId="21">
    <w:name w:val="Body Text First Indent"/>
    <w:basedOn w:val="9"/>
    <w:qFormat/>
    <w:uiPriority w:val="0"/>
    <w:pPr>
      <w:ind w:firstLine="420" w:firstLineChars="100"/>
    </w:pPr>
  </w:style>
  <w:style w:type="paragraph" w:styleId="22">
    <w:name w:val="Body Text First Indent 2"/>
    <w:basedOn w:val="10"/>
    <w:unhideWhenUsed/>
    <w:qFormat/>
    <w:uiPriority w:val="99"/>
    <w:pPr>
      <w:ind w:firstLine="420" w:firstLineChars="200"/>
    </w:p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样式1"/>
    <w:basedOn w:val="1"/>
    <w:qFormat/>
    <w:uiPriority w:val="0"/>
    <w:pPr>
      <w:spacing w:line="360" w:lineRule="auto"/>
      <w:ind w:firstLine="480" w:firstLineChars="200"/>
    </w:pPr>
    <w:rPr>
      <w:rFonts w:ascii="宋体" w:hAnsi="宋体"/>
      <w:sz w:val="24"/>
    </w:rPr>
  </w:style>
  <w:style w:type="paragraph" w:customStyle="1" w:styleId="27">
    <w:name w:val="正文（绿盟科技）"/>
    <w:qFormat/>
    <w:uiPriority w:val="0"/>
    <w:pPr>
      <w:spacing w:line="300" w:lineRule="auto"/>
    </w:pPr>
    <w:rPr>
      <w:rFonts w:ascii="Times New Roman" w:hAnsi="Times New Roman" w:eastAsia="宋体" w:cs="Times New Roman"/>
      <w:sz w:val="21"/>
      <w:szCs w:val="21"/>
      <w:lang w:val="en-US" w:eastAsia="zh-CN" w:bidi="ar-SA"/>
    </w:rPr>
  </w:style>
  <w:style w:type="paragraph" w:customStyle="1" w:styleId="28">
    <w:name w:val="Default"/>
    <w:next w:val="17"/>
    <w:qFormat/>
    <w:uiPriority w:val="0"/>
    <w:pPr>
      <w:widowControl w:val="0"/>
      <w:autoSpaceDE w:val="0"/>
      <w:autoSpaceDN w:val="0"/>
      <w:adjustRightInd w:val="0"/>
      <w:spacing w:before="156" w:beforeLines="50" w:after="156" w:afterLines="50" w:line="360" w:lineRule="auto"/>
    </w:pPr>
    <w:rPr>
      <w:rFonts w:ascii="仿宋_GB2312" w:hAnsi="Times New Roman" w:eastAsia="仿宋_GB2312" w:cs="Times New Roman"/>
      <w:color w:val="000000"/>
      <w:kern w:val="2"/>
      <w:sz w:val="24"/>
      <w:szCs w:val="24"/>
      <w:lang w:val="en-US" w:eastAsia="zh-CN" w:bidi="ar-SA"/>
    </w:rPr>
  </w:style>
  <w:style w:type="paragraph" w:customStyle="1" w:styleId="29">
    <w:name w:val="列出段落1"/>
    <w:basedOn w:val="1"/>
    <w:qFormat/>
    <w:uiPriority w:val="34"/>
    <w:pPr>
      <w:spacing w:line="360" w:lineRule="auto"/>
      <w:ind w:left="828" w:firstLine="420" w:firstLineChars="200"/>
    </w:pPr>
    <w:rPr>
      <w:szCs w:val="20"/>
    </w:rPr>
  </w:style>
  <w:style w:type="paragraph" w:customStyle="1" w:styleId="30">
    <w:name w:val="列出段落11"/>
    <w:basedOn w:val="1"/>
    <w:qFormat/>
    <w:uiPriority w:val="0"/>
    <w:pPr>
      <w:spacing w:line="360" w:lineRule="auto"/>
      <w:ind w:left="828" w:firstLine="420" w:firstLineChars="200"/>
    </w:pPr>
    <w:rPr>
      <w:szCs w:val="21"/>
    </w:rPr>
  </w:style>
  <w:style w:type="paragraph" w:styleId="31">
    <w:name w:val="List Paragraph"/>
    <w:basedOn w:val="1"/>
    <w:qFormat/>
    <w:uiPriority w:val="34"/>
    <w:pPr>
      <w:ind w:firstLine="420" w:firstLineChars="200"/>
    </w:pPr>
  </w:style>
  <w:style w:type="paragraph" w:customStyle="1" w:styleId="32">
    <w:name w:val="样式 首行缩进:  2 字符"/>
    <w:basedOn w:val="1"/>
    <w:qFormat/>
    <w:uiPriority w:val="0"/>
    <w:pPr>
      <w:spacing w:line="400" w:lineRule="exact"/>
      <w:ind w:firstLine="200" w:firstLineChars="200"/>
    </w:pPr>
    <w:rPr>
      <w:rFonts w:cs="宋体"/>
      <w:sz w:val="24"/>
    </w:rPr>
  </w:style>
  <w:style w:type="character" w:customStyle="1" w:styleId="33">
    <w:name w:val="font21"/>
    <w:basedOn w:val="25"/>
    <w:qFormat/>
    <w:uiPriority w:val="0"/>
    <w:rPr>
      <w:rFonts w:hint="eastAsia" w:ascii="宋体" w:hAnsi="宋体" w:eastAsia="宋体" w:cs="宋体"/>
      <w:color w:val="000000"/>
      <w:sz w:val="21"/>
      <w:szCs w:val="21"/>
      <w:u w:val="none"/>
    </w:rPr>
  </w:style>
  <w:style w:type="paragraph" w:customStyle="1" w:styleId="34">
    <w:name w:val="样式 标题 2 + Times New Roman 四号 非加粗 段前: 5 磅 段后: 0 磅 行距: 固定值 20..."/>
    <w:basedOn w:val="3"/>
    <w:qFormat/>
    <w:uiPriority w:val="0"/>
    <w:pPr>
      <w:numPr>
        <w:ilvl w:val="1"/>
        <w:numId w:val="0"/>
      </w:numPr>
      <w:spacing w:before="100" w:beforeLines="0" w:after="0" w:afterLines="0" w:line="400" w:lineRule="exact"/>
    </w:pPr>
    <w:rPr>
      <w:rFonts w:ascii="Times New Roman" w:hAnsi="Times New Roman" w:eastAsia="宋体" w:cs="宋体"/>
      <w:kern w:val="2"/>
      <w:sz w:val="28"/>
      <w:szCs w:val="20"/>
    </w:rPr>
  </w:style>
  <w:style w:type="character" w:customStyle="1" w:styleId="35">
    <w:name w:val="样式 标题 3 + 宋体 五号 Char Char"/>
    <w:link w:val="36"/>
    <w:qFormat/>
    <w:locked/>
    <w:uiPriority w:val="99"/>
    <w:rPr>
      <w:rFonts w:ascii="宋体" w:hAnsi="宋体"/>
      <w:sz w:val="20"/>
      <w:szCs w:val="20"/>
    </w:rPr>
  </w:style>
  <w:style w:type="paragraph" w:customStyle="1" w:styleId="36">
    <w:name w:val="样式 标题 3 + 宋体 五号"/>
    <w:basedOn w:val="4"/>
    <w:link w:val="35"/>
    <w:qFormat/>
    <w:uiPriority w:val="99"/>
    <w:pPr>
      <w:numPr>
        <w:ilvl w:val="0"/>
        <w:numId w:val="0"/>
      </w:numPr>
      <w:spacing w:before="200" w:after="200" w:line="240" w:lineRule="auto"/>
      <w:jc w:val="left"/>
    </w:pPr>
    <w:rPr>
      <w:rFonts w:ascii="宋体" w:hAnsi="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20085</Words>
  <Characters>21771</Characters>
  <Lines>0</Lines>
  <Paragraphs>0</Paragraphs>
  <TotalTime>3</TotalTime>
  <ScaleCrop>false</ScaleCrop>
  <LinksUpToDate>false</LinksUpToDate>
  <CharactersWithSpaces>22928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2025-01-02T01:52:00Z</dcterms:created>
  <dc:creator>17591032188</dc:creator>
  <cp:lastModifiedBy>赵慕臻</cp:lastModifiedBy>
  <dcterms:modified xsi:type="dcterms:W3CDTF">2025-04-03T03:55:34Z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eyJoZGlkIjoiMTg2ZmE5ZjNlZDQwZjQ0ODIyMzU2N2Y5ZTliNTVjZmEiLCJ1c2VySWQiOiI5MDc1ODI2ODMifQ==</vt:lpwstr>
  </property>
  <property fmtid="{D5CDD505-2E9C-101B-9397-08002B2CF9AE}" pid="4" name="ICV">
    <vt:lpwstr>11AC31C9D41240F3AE73C853EB76147D_13</vt:lpwstr>
  </property>
</Properties>
</file>